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7E0F" w:rsidRDefault="00687E0F">
      <w:pPr>
        <w:pStyle w:val="ConsPlusTitle"/>
        <w:jc w:val="center"/>
      </w:pPr>
      <w:r>
        <w:t>МЕТОДИКА</w:t>
      </w:r>
    </w:p>
    <w:p w:rsidR="00687E0F" w:rsidRDefault="00687E0F">
      <w:pPr>
        <w:pStyle w:val="ConsPlusTitle"/>
        <w:jc w:val="center"/>
      </w:pPr>
      <w:r>
        <w:t>РАСЧЕТА И РАСПРЕДЕЛЕНИЯ ДОТАЦИЙ НА ВЫРАВНИВАНИЕ БЮДЖЕТНОЙ</w:t>
      </w:r>
    </w:p>
    <w:p w:rsidR="00687E0F" w:rsidRDefault="00687E0F">
      <w:pPr>
        <w:pStyle w:val="ConsPlusTitle"/>
        <w:jc w:val="center"/>
      </w:pPr>
      <w:r>
        <w:t>ОБЕСПЕЧЕННОСТИ ПОСЕЛЕНИЙ ИЗ ОБЛАСТНОГО БЮДЖЕТА</w:t>
      </w:r>
    </w:p>
    <w:p w:rsidR="00687E0F" w:rsidRDefault="00687E0F">
      <w:pPr>
        <w:spacing w:after="1"/>
      </w:pPr>
    </w:p>
    <w:tbl>
      <w:tblPr>
        <w:tblW w:w="10465"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0465"/>
      </w:tblGrid>
      <w:tr w:rsidR="00687E0F">
        <w:trPr>
          <w:jc w:val="center"/>
        </w:trPr>
        <w:tc>
          <w:tcPr>
            <w:tcW w:w="10405" w:type="dxa"/>
            <w:tcBorders>
              <w:top w:val="nil"/>
              <w:left w:val="single" w:sz="24" w:space="0" w:color="CED3F1"/>
              <w:bottom w:val="nil"/>
              <w:right w:val="single" w:sz="24" w:space="0" w:color="F4F3F8"/>
            </w:tcBorders>
            <w:shd w:val="clear" w:color="auto" w:fill="F4F3F8"/>
          </w:tcPr>
          <w:p w:rsidR="00687E0F" w:rsidRDefault="00687E0F">
            <w:pPr>
              <w:pStyle w:val="ConsPlusNormal"/>
              <w:jc w:val="center"/>
            </w:pPr>
            <w:r>
              <w:rPr>
                <w:color w:val="392C69"/>
              </w:rPr>
              <w:t>Список изменяющих документов</w:t>
            </w:r>
          </w:p>
          <w:p w:rsidR="00687E0F" w:rsidRDefault="00687E0F">
            <w:pPr>
              <w:pStyle w:val="ConsPlusNormal"/>
              <w:jc w:val="center"/>
            </w:pPr>
            <w:r>
              <w:rPr>
                <w:color w:val="392C69"/>
              </w:rPr>
              <w:t xml:space="preserve">(в ред. </w:t>
            </w:r>
            <w:hyperlink r:id="rId4" w:history="1">
              <w:r>
                <w:rPr>
                  <w:color w:val="0000FF"/>
                </w:rPr>
                <w:t>Закона</w:t>
              </w:r>
            </w:hyperlink>
            <w:r>
              <w:rPr>
                <w:color w:val="392C69"/>
              </w:rPr>
              <w:t xml:space="preserve"> Томской области</w:t>
            </w:r>
          </w:p>
          <w:p w:rsidR="00687E0F" w:rsidRDefault="00687E0F">
            <w:pPr>
              <w:pStyle w:val="ConsPlusNormal"/>
              <w:jc w:val="center"/>
            </w:pPr>
            <w:r>
              <w:rPr>
                <w:color w:val="392C69"/>
              </w:rPr>
              <w:t>от 14.11.2019 N 111-ОЗ)</w:t>
            </w:r>
          </w:p>
        </w:tc>
      </w:tr>
    </w:tbl>
    <w:p w:rsidR="00687E0F" w:rsidRDefault="00687E0F">
      <w:pPr>
        <w:pStyle w:val="ConsPlusNormal"/>
        <w:jc w:val="both"/>
        <w:outlineLvl w:val="0"/>
      </w:pPr>
    </w:p>
    <w:p w:rsidR="00687E0F" w:rsidRDefault="00687E0F">
      <w:pPr>
        <w:pStyle w:val="ConsPlusNormal"/>
        <w:ind w:firstLine="540"/>
        <w:jc w:val="both"/>
      </w:pPr>
      <w:r>
        <w:t>1. Размер дотаций на выравнивание бюджетной обеспеченности поселений из областного бюджета в бюджет городского поселения, сельского поселения рассчитывается по следующей формуле:</w:t>
      </w:r>
    </w:p>
    <w:p w:rsidR="00687E0F" w:rsidRDefault="00687E0F">
      <w:pPr>
        <w:pStyle w:val="ConsPlusNormal"/>
        <w:jc w:val="both"/>
      </w:pPr>
    </w:p>
    <w:p w:rsidR="00687E0F" w:rsidRDefault="00687E0F">
      <w:pPr>
        <w:pStyle w:val="ConsPlusNormal"/>
        <w:jc w:val="center"/>
      </w:pPr>
      <w:r>
        <w:t>Д(п)j = V</w:t>
      </w:r>
      <w:r>
        <w:rPr>
          <w:vertAlign w:val="subscript"/>
        </w:rPr>
        <w:t>общ</w:t>
      </w:r>
      <w:r>
        <w:t xml:space="preserve"> / ЧД x Чj, где:</w:t>
      </w:r>
    </w:p>
    <w:p w:rsidR="00687E0F" w:rsidRDefault="00687E0F">
      <w:pPr>
        <w:pStyle w:val="ConsPlusNormal"/>
        <w:jc w:val="both"/>
      </w:pPr>
    </w:p>
    <w:p w:rsidR="00687E0F" w:rsidRDefault="00687E0F">
      <w:pPr>
        <w:pStyle w:val="ConsPlusNormal"/>
        <w:ind w:firstLine="540"/>
        <w:jc w:val="both"/>
      </w:pPr>
      <w:r>
        <w:t>Д(п)j - расчетный размер дотации на выравнивание бюджетной обеспеченности j-му городскому поселению, сельскому поселению из областного бюджета;</w:t>
      </w:r>
    </w:p>
    <w:p w:rsidR="00687E0F" w:rsidRDefault="00687E0F">
      <w:pPr>
        <w:pStyle w:val="ConsPlusNormal"/>
        <w:spacing w:before="220"/>
        <w:ind w:firstLine="540"/>
        <w:jc w:val="both"/>
      </w:pPr>
      <w:r>
        <w:t>Vобщ - общий объем дотаций на выравнивание бюджетной обеспеченности поселений из областного бюджета;</w:t>
      </w:r>
    </w:p>
    <w:p w:rsidR="00687E0F" w:rsidRDefault="00687E0F">
      <w:pPr>
        <w:pStyle w:val="ConsPlusNormal"/>
        <w:spacing w:before="220"/>
        <w:ind w:firstLine="540"/>
        <w:jc w:val="both"/>
      </w:pPr>
      <w:r>
        <w:t>ЧД - численность постоянного населения городских поселений, сельских поселений, имеющих право на получение дотаций на выравнивание бюджетной обеспеченности поселений из областного бюджета, на начало текущего финансового года (по данным территориального органа Федеральной службы государственной статистики по Томской области);</w:t>
      </w:r>
    </w:p>
    <w:p w:rsidR="00687E0F" w:rsidRDefault="00687E0F">
      <w:pPr>
        <w:pStyle w:val="ConsPlusNormal"/>
        <w:spacing w:before="220"/>
        <w:ind w:firstLine="540"/>
        <w:jc w:val="both"/>
      </w:pPr>
      <w:r>
        <w:t>Чj - численность постоянного населения j-го городского поселения, сельского поселения на начало текущего финансового года (по данным территориального органа Федеральной службы государственной статистики по Томской области).</w:t>
      </w:r>
    </w:p>
    <w:p w:rsidR="00687E0F" w:rsidRDefault="00687E0F">
      <w:pPr>
        <w:pStyle w:val="ConsPlusNormal"/>
        <w:spacing w:before="220"/>
        <w:ind w:firstLine="540"/>
        <w:jc w:val="both"/>
      </w:pPr>
      <w:r>
        <w:t>2. Общий объем дотаций на выравнивание бюджетной обеспеченности поселений из областного бюджета определяется по формуле:</w:t>
      </w:r>
    </w:p>
    <w:p w:rsidR="00687E0F" w:rsidRDefault="00687E0F">
      <w:pPr>
        <w:pStyle w:val="ConsPlusNormal"/>
        <w:jc w:val="both"/>
      </w:pPr>
    </w:p>
    <w:p w:rsidR="00687E0F" w:rsidRDefault="00687E0F">
      <w:pPr>
        <w:pStyle w:val="ConsPlusNormal"/>
        <w:jc w:val="center"/>
      </w:pPr>
      <w:r>
        <w:t>V</w:t>
      </w:r>
      <w:r>
        <w:rPr>
          <w:vertAlign w:val="subscript"/>
        </w:rPr>
        <w:t>общ</w:t>
      </w:r>
      <w:r>
        <w:t xml:space="preserve"> = К x ЧД, где:</w:t>
      </w:r>
    </w:p>
    <w:p w:rsidR="00687E0F" w:rsidRDefault="00687E0F">
      <w:pPr>
        <w:pStyle w:val="ConsPlusNormal"/>
        <w:jc w:val="both"/>
      </w:pPr>
    </w:p>
    <w:p w:rsidR="00687E0F" w:rsidRDefault="00687E0F">
      <w:pPr>
        <w:pStyle w:val="ConsPlusNormal"/>
        <w:ind w:firstLine="540"/>
        <w:jc w:val="both"/>
      </w:pPr>
      <w:r>
        <w:t>К - уровень, установленный в качестве критерия выравнивания финансовых возможностей городских поселений, сельских поселений;</w:t>
      </w:r>
    </w:p>
    <w:p w:rsidR="00687E0F" w:rsidRDefault="00687E0F">
      <w:pPr>
        <w:pStyle w:val="ConsPlusNormal"/>
        <w:spacing w:before="220"/>
        <w:ind w:firstLine="540"/>
        <w:jc w:val="both"/>
      </w:pPr>
      <w:r>
        <w:t>ЧД - численность постоянного населения городских поселений, сельских поселений, имеющих право на получение дотаций на выравнивание бюджетной обеспеченности поселений из областного бюджета, на начало текущего финансового года (по данным территориального органа Федеральной службы государственной статистики по Томской области).</w:t>
      </w:r>
    </w:p>
    <w:p w:rsidR="00687E0F" w:rsidRDefault="00687E0F">
      <w:pPr>
        <w:pStyle w:val="ConsPlusNormal"/>
        <w:spacing w:before="220"/>
        <w:ind w:firstLine="540"/>
        <w:jc w:val="both"/>
      </w:pPr>
      <w:r>
        <w:t>2.1. Определение критерия выравнивания финансовых возможностей городских поселений, сельских поселений осуществляется в следующем порядке.</w:t>
      </w:r>
    </w:p>
    <w:p w:rsidR="00687E0F" w:rsidRDefault="00687E0F">
      <w:pPr>
        <w:pStyle w:val="ConsPlusNormal"/>
        <w:spacing w:before="220"/>
        <w:ind w:firstLine="540"/>
        <w:jc w:val="both"/>
      </w:pPr>
      <w:r>
        <w:t>Уровень, установленный в качестве критерия выравнивания финансовых возможностей городских поселений, сельских поселений, определяется как отношение планируемых налоговых доходов городских поселений, сельских поселений, входящих в состав территории муниципальных районов, рассчитанное с применением нормативов отчислений в бюджеты городских поселений, сельских поселений к численности постоянного населения городских поселений, сельских поселений, входящих в состав территорий муниципальных районов на начало финансового года, с поправочным коэффициентом к среднему значению подушевых расчетных налоговых доходов городских поселений, сельских поселений, рассчитывается по следующей формуле:</w:t>
      </w:r>
    </w:p>
    <w:p w:rsidR="00687E0F" w:rsidRDefault="00687E0F">
      <w:pPr>
        <w:pStyle w:val="ConsPlusNormal"/>
        <w:jc w:val="both"/>
      </w:pPr>
    </w:p>
    <w:p w:rsidR="00687E0F" w:rsidRDefault="00687E0F">
      <w:pPr>
        <w:pStyle w:val="ConsPlusNormal"/>
        <w:jc w:val="center"/>
      </w:pPr>
      <w:r>
        <w:t>К = ПНД / ЧД x Пк, где:</w:t>
      </w:r>
    </w:p>
    <w:p w:rsidR="00687E0F" w:rsidRDefault="00687E0F">
      <w:pPr>
        <w:pStyle w:val="ConsPlusNormal"/>
        <w:jc w:val="both"/>
      </w:pPr>
    </w:p>
    <w:p w:rsidR="00687E0F" w:rsidRDefault="00687E0F">
      <w:pPr>
        <w:pStyle w:val="ConsPlusNormal"/>
        <w:ind w:firstLine="540"/>
        <w:jc w:val="both"/>
      </w:pPr>
      <w:r>
        <w:t xml:space="preserve">ПНД - планируемые налоговые доходы городских поселений, сельских поселений, входящих в состав территории муниципальных районов, рассчитанные с применением нормативов отчислений в бюджеты городских поселений, сельских поселений, установленных Бюджетным </w:t>
      </w:r>
      <w:hyperlink r:id="rId5" w:history="1">
        <w:r>
          <w:rPr>
            <w:color w:val="0000FF"/>
          </w:rPr>
          <w:t>кодексом</w:t>
        </w:r>
      </w:hyperlink>
      <w:r>
        <w:t xml:space="preserve"> Российской Федерации;</w:t>
      </w:r>
    </w:p>
    <w:p w:rsidR="00687E0F" w:rsidRDefault="00687E0F">
      <w:pPr>
        <w:pStyle w:val="ConsPlusNormal"/>
        <w:spacing w:before="220"/>
        <w:ind w:firstLine="540"/>
        <w:jc w:val="both"/>
      </w:pPr>
      <w:r>
        <w:t xml:space="preserve">Пк - поправочный коэффициент к среднему значению подушевых расчетных налоговых доходов </w:t>
      </w:r>
      <w:r>
        <w:lastRenderedPageBreak/>
        <w:t>городских поселений, сельских поселений, входящих в состав муниципальных районов, принимается равным 0,5.</w:t>
      </w:r>
    </w:p>
    <w:p w:rsidR="00687E0F" w:rsidRDefault="00687E0F">
      <w:pPr>
        <w:pStyle w:val="ConsPlusNormal"/>
        <w:spacing w:before="220"/>
        <w:ind w:firstLine="540"/>
        <w:jc w:val="both"/>
      </w:pPr>
      <w:r>
        <w:t>3. При составлении и утверждении областного бюджета на очередной финансовый год и на плановый период бюджетам городских поселений, сельских поселений, получающим дотации на выравнивание бюджетной обеспеченности поселений из областного бюджета, дотации могут быть полностью или частично заменены дополнительными нормативами отчислений в бюджеты городских поселений, сельских поселений от налога на доходы физических лиц.</w:t>
      </w:r>
    </w:p>
    <w:p w:rsidR="00687E0F" w:rsidRDefault="00687E0F">
      <w:pPr>
        <w:pStyle w:val="ConsPlusNormal"/>
        <w:spacing w:before="220"/>
        <w:ind w:firstLine="540"/>
        <w:jc w:val="both"/>
      </w:pPr>
      <w:r>
        <w:t>Дополнительный норматив рассчитывается по формуле:</w:t>
      </w:r>
    </w:p>
    <w:p w:rsidR="00687E0F" w:rsidRDefault="00687E0F">
      <w:pPr>
        <w:pStyle w:val="ConsPlusNormal"/>
        <w:jc w:val="both"/>
      </w:pPr>
    </w:p>
    <w:p w:rsidR="00687E0F" w:rsidRDefault="00687E0F">
      <w:pPr>
        <w:pStyle w:val="ConsPlusNormal"/>
        <w:jc w:val="center"/>
      </w:pPr>
      <w:r>
        <w:t>Норм НДФЛj = Д(п)j / ПД НДФЛj x 100, где:</w:t>
      </w:r>
    </w:p>
    <w:p w:rsidR="00687E0F" w:rsidRDefault="00687E0F">
      <w:pPr>
        <w:pStyle w:val="ConsPlusNormal"/>
        <w:jc w:val="both"/>
      </w:pPr>
    </w:p>
    <w:p w:rsidR="00687E0F" w:rsidRDefault="00687E0F">
      <w:pPr>
        <w:pStyle w:val="ConsPlusNormal"/>
        <w:ind w:firstLine="540"/>
        <w:jc w:val="both"/>
      </w:pPr>
      <w:r>
        <w:t>Норм НДФЛj - дополнительный норматив отчислений от налога на доходы физических лиц в бюджет j-го городского поселения, сельского поселения;</w:t>
      </w:r>
    </w:p>
    <w:p w:rsidR="00687E0F" w:rsidRDefault="00687E0F">
      <w:pPr>
        <w:pStyle w:val="ConsPlusNormal"/>
        <w:spacing w:before="220"/>
        <w:ind w:firstLine="540"/>
        <w:jc w:val="both"/>
      </w:pPr>
      <w:r>
        <w:t>Д(п)j - расчетный объем дотации (часть расчетного объема дотации) j-му городскому поселению, сельскому поселению на выравнивание бюджетной обеспеченности поселений;</w:t>
      </w:r>
    </w:p>
    <w:p w:rsidR="00687E0F" w:rsidRDefault="00687E0F">
      <w:pPr>
        <w:pStyle w:val="ConsPlusNormal"/>
        <w:spacing w:before="220"/>
        <w:ind w:firstLine="540"/>
        <w:jc w:val="both"/>
      </w:pPr>
      <w:r>
        <w:t xml:space="preserve">ПД НДФЛj - прогноз поступлений налога </w:t>
      </w:r>
      <w:bookmarkStart w:id="0" w:name="_GoBack"/>
      <w:bookmarkEnd w:id="0"/>
      <w:r>
        <w:t>на доходы физических лиц в консолидированный бюджет области по территории j-го городского поселения, сельского поселения.</w:t>
      </w:r>
    </w:p>
    <w:p w:rsidR="00687E0F" w:rsidRDefault="00687E0F">
      <w:pPr>
        <w:pStyle w:val="ConsPlusNormal"/>
        <w:spacing w:before="220"/>
        <w:ind w:firstLine="540"/>
        <w:jc w:val="both"/>
      </w:pPr>
      <w:r>
        <w:t xml:space="preserve">В случае если рассчитанный дополнительный норматив превышает максимально возможный норматив, определяемый как норматив отчислений от налога на доходы физических лиц, подлежащий в соответствии с требованиями Бюджетного </w:t>
      </w:r>
      <w:hyperlink r:id="rId6" w:history="1">
        <w:r>
          <w:rPr>
            <w:color w:val="0000FF"/>
          </w:rPr>
          <w:t>кодекса</w:t>
        </w:r>
      </w:hyperlink>
      <w:r>
        <w:t xml:space="preserve"> Российской Федерации зачислению в областной бюджет, в качестве дополнительного закрепляется максимально возможный норматив.</w:t>
      </w:r>
    </w:p>
    <w:p w:rsidR="00687E0F" w:rsidRDefault="00687E0F">
      <w:pPr>
        <w:pStyle w:val="ConsPlusNormal"/>
      </w:pPr>
      <w:hyperlink r:id="rId7" w:history="1">
        <w:r>
          <w:rPr>
            <w:i/>
            <w:color w:val="0000FF"/>
          </w:rPr>
          <w:br/>
          <w:t>Закон Томской области от 13.08.2007 N 170-ОЗ (ред. от 14.11.2019) "О межбюджетных отношениях в Томской области" (принят постановлением Государственной Думы Томской области от 26.07.2007 N 405) (вместе с "Методикой расчета и распределения дотаций на выравнивание бюджетной обеспеченности поселений из областного бюджета", "Методикой расчета и распределения дотаций на выравнивание бюджетной обеспеченности муниципальных районов (городских округов) из областного бюджета", "Методикой расчета и распределения дотаций на выравнивание бюджетной обеспеченности поселений из бюджета муниципального района", "Методикой расчета субсидий, предоставляемых областному бюджету из бюджетов муниципальных районов (городских округов)") {КонсультантПлюс}</w:t>
        </w:r>
      </w:hyperlink>
      <w:r>
        <w:br/>
      </w:r>
    </w:p>
    <w:p w:rsidR="005806DB" w:rsidRDefault="005806DB"/>
    <w:sectPr w:rsidR="005806DB" w:rsidSect="005D4ED1">
      <w:pgSz w:w="11906" w:h="16838" w:code="9"/>
      <w:pgMar w:top="720" w:right="720" w:bottom="720" w:left="720"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E0F"/>
    <w:rsid w:val="001D0355"/>
    <w:rsid w:val="005806DB"/>
    <w:rsid w:val="00687E0F"/>
    <w:rsid w:val="00BA7368"/>
    <w:rsid w:val="00F469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A50517-90ED-4930-9039-B3E6707DB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0355"/>
  </w:style>
  <w:style w:type="paragraph" w:styleId="1">
    <w:name w:val="heading 1"/>
    <w:basedOn w:val="a"/>
    <w:next w:val="a"/>
    <w:link w:val="10"/>
    <w:uiPriority w:val="9"/>
    <w:qFormat/>
    <w:rsid w:val="001D035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1D035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1D035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1D0355"/>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1D0355"/>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1D0355"/>
    <w:pPr>
      <w:keepNext/>
      <w:keepLines/>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iPriority w:val="9"/>
    <w:semiHidden/>
    <w:unhideWhenUsed/>
    <w:qFormat/>
    <w:rsid w:val="001D0355"/>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semiHidden/>
    <w:unhideWhenUsed/>
    <w:qFormat/>
    <w:rsid w:val="001D0355"/>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1D0355"/>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D0355"/>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1D0355"/>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semiHidden/>
    <w:rsid w:val="001D0355"/>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semiHidden/>
    <w:rsid w:val="001D0355"/>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1D0355"/>
    <w:rPr>
      <w:rFonts w:asciiTheme="majorHAnsi" w:eastAsiaTheme="majorEastAsia" w:hAnsiTheme="majorHAnsi" w:cstheme="majorBidi"/>
      <w:color w:val="2E74B5" w:themeColor="accent1" w:themeShade="BF"/>
    </w:rPr>
  </w:style>
  <w:style w:type="character" w:customStyle="1" w:styleId="60">
    <w:name w:val="Заголовок 6 Знак"/>
    <w:basedOn w:val="a0"/>
    <w:link w:val="6"/>
    <w:uiPriority w:val="9"/>
    <w:semiHidden/>
    <w:rsid w:val="001D0355"/>
    <w:rPr>
      <w:rFonts w:asciiTheme="majorHAnsi" w:eastAsiaTheme="majorEastAsia" w:hAnsiTheme="majorHAnsi" w:cstheme="majorBidi"/>
      <w:color w:val="1F4D78" w:themeColor="accent1" w:themeShade="7F"/>
    </w:rPr>
  </w:style>
  <w:style w:type="character" w:customStyle="1" w:styleId="70">
    <w:name w:val="Заголовок 7 Знак"/>
    <w:basedOn w:val="a0"/>
    <w:link w:val="7"/>
    <w:uiPriority w:val="9"/>
    <w:semiHidden/>
    <w:rsid w:val="001D0355"/>
    <w:rPr>
      <w:rFonts w:asciiTheme="majorHAnsi" w:eastAsiaTheme="majorEastAsia" w:hAnsiTheme="majorHAnsi" w:cstheme="majorBidi"/>
      <w:i/>
      <w:iCs/>
      <w:color w:val="1F4D78" w:themeColor="accent1" w:themeShade="7F"/>
    </w:rPr>
  </w:style>
  <w:style w:type="character" w:customStyle="1" w:styleId="80">
    <w:name w:val="Заголовок 8 Знак"/>
    <w:basedOn w:val="a0"/>
    <w:link w:val="8"/>
    <w:uiPriority w:val="9"/>
    <w:semiHidden/>
    <w:rsid w:val="001D0355"/>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semiHidden/>
    <w:rsid w:val="001D0355"/>
    <w:rPr>
      <w:rFonts w:asciiTheme="majorHAnsi" w:eastAsiaTheme="majorEastAsia" w:hAnsiTheme="majorHAnsi" w:cstheme="majorBidi"/>
      <w:i/>
      <w:iCs/>
      <w:color w:val="272727" w:themeColor="text1" w:themeTint="D8"/>
      <w:sz w:val="21"/>
      <w:szCs w:val="21"/>
    </w:rPr>
  </w:style>
  <w:style w:type="paragraph" w:styleId="a3">
    <w:name w:val="caption"/>
    <w:basedOn w:val="a"/>
    <w:next w:val="a"/>
    <w:uiPriority w:val="35"/>
    <w:semiHidden/>
    <w:unhideWhenUsed/>
    <w:qFormat/>
    <w:rsid w:val="001D0355"/>
    <w:pPr>
      <w:spacing w:after="200" w:line="240" w:lineRule="auto"/>
    </w:pPr>
    <w:rPr>
      <w:i/>
      <w:iCs/>
      <w:color w:val="44546A" w:themeColor="text2"/>
      <w:sz w:val="18"/>
      <w:szCs w:val="18"/>
    </w:rPr>
  </w:style>
  <w:style w:type="paragraph" w:styleId="a4">
    <w:name w:val="Title"/>
    <w:basedOn w:val="a"/>
    <w:next w:val="a"/>
    <w:link w:val="a5"/>
    <w:uiPriority w:val="10"/>
    <w:qFormat/>
    <w:rsid w:val="001D035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5">
    <w:name w:val="Название Знак"/>
    <w:basedOn w:val="a0"/>
    <w:link w:val="a4"/>
    <w:uiPriority w:val="10"/>
    <w:rsid w:val="001D0355"/>
    <w:rPr>
      <w:rFonts w:asciiTheme="majorHAnsi" w:eastAsiaTheme="majorEastAsia" w:hAnsiTheme="majorHAnsi" w:cstheme="majorBidi"/>
      <w:spacing w:val="-10"/>
      <w:kern w:val="28"/>
      <w:sz w:val="56"/>
      <w:szCs w:val="56"/>
    </w:rPr>
  </w:style>
  <w:style w:type="paragraph" w:styleId="a6">
    <w:name w:val="Subtitle"/>
    <w:basedOn w:val="a"/>
    <w:next w:val="a"/>
    <w:link w:val="a7"/>
    <w:uiPriority w:val="11"/>
    <w:qFormat/>
    <w:rsid w:val="001D0355"/>
    <w:pPr>
      <w:numPr>
        <w:ilvl w:val="1"/>
      </w:numPr>
    </w:pPr>
    <w:rPr>
      <w:rFonts w:eastAsiaTheme="minorEastAsia"/>
      <w:color w:val="5A5A5A" w:themeColor="text1" w:themeTint="A5"/>
      <w:spacing w:val="15"/>
    </w:rPr>
  </w:style>
  <w:style w:type="character" w:customStyle="1" w:styleId="a7">
    <w:name w:val="Подзаголовок Знак"/>
    <w:basedOn w:val="a0"/>
    <w:link w:val="a6"/>
    <w:uiPriority w:val="11"/>
    <w:rsid w:val="001D0355"/>
    <w:rPr>
      <w:rFonts w:eastAsiaTheme="minorEastAsia"/>
      <w:color w:val="5A5A5A" w:themeColor="text1" w:themeTint="A5"/>
      <w:spacing w:val="15"/>
    </w:rPr>
  </w:style>
  <w:style w:type="character" w:styleId="a8">
    <w:name w:val="Strong"/>
    <w:uiPriority w:val="22"/>
    <w:qFormat/>
    <w:rsid w:val="001D0355"/>
    <w:rPr>
      <w:b/>
      <w:bCs/>
    </w:rPr>
  </w:style>
  <w:style w:type="character" w:styleId="a9">
    <w:name w:val="Emphasis"/>
    <w:uiPriority w:val="20"/>
    <w:qFormat/>
    <w:rsid w:val="001D0355"/>
    <w:rPr>
      <w:i/>
      <w:iCs/>
    </w:rPr>
  </w:style>
  <w:style w:type="paragraph" w:styleId="aa">
    <w:name w:val="No Spacing"/>
    <w:uiPriority w:val="1"/>
    <w:qFormat/>
    <w:rsid w:val="001D0355"/>
    <w:pPr>
      <w:spacing w:after="0" w:line="240" w:lineRule="auto"/>
    </w:pPr>
  </w:style>
  <w:style w:type="paragraph" w:styleId="ab">
    <w:name w:val="List Paragraph"/>
    <w:basedOn w:val="a"/>
    <w:uiPriority w:val="34"/>
    <w:qFormat/>
    <w:rsid w:val="001D0355"/>
    <w:pPr>
      <w:ind w:left="720"/>
      <w:contextualSpacing/>
    </w:pPr>
  </w:style>
  <w:style w:type="paragraph" w:styleId="21">
    <w:name w:val="Quote"/>
    <w:basedOn w:val="a"/>
    <w:next w:val="a"/>
    <w:link w:val="22"/>
    <w:uiPriority w:val="29"/>
    <w:qFormat/>
    <w:rsid w:val="001D0355"/>
    <w:pPr>
      <w:spacing w:before="200"/>
      <w:ind w:left="864" w:right="864"/>
      <w:jc w:val="center"/>
    </w:pPr>
    <w:rPr>
      <w:i/>
      <w:iCs/>
      <w:color w:val="404040" w:themeColor="text1" w:themeTint="BF"/>
    </w:rPr>
  </w:style>
  <w:style w:type="character" w:customStyle="1" w:styleId="22">
    <w:name w:val="Цитата 2 Знак"/>
    <w:basedOn w:val="a0"/>
    <w:link w:val="21"/>
    <w:uiPriority w:val="29"/>
    <w:rsid w:val="001D0355"/>
    <w:rPr>
      <w:i/>
      <w:iCs/>
      <w:color w:val="404040" w:themeColor="text1" w:themeTint="BF"/>
    </w:rPr>
  </w:style>
  <w:style w:type="paragraph" w:styleId="ac">
    <w:name w:val="Intense Quote"/>
    <w:basedOn w:val="a"/>
    <w:next w:val="a"/>
    <w:link w:val="ad"/>
    <w:uiPriority w:val="30"/>
    <w:qFormat/>
    <w:rsid w:val="001D0355"/>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d">
    <w:name w:val="Выделенная цитата Знак"/>
    <w:basedOn w:val="a0"/>
    <w:link w:val="ac"/>
    <w:uiPriority w:val="30"/>
    <w:rsid w:val="001D0355"/>
    <w:rPr>
      <w:i/>
      <w:iCs/>
      <w:color w:val="5B9BD5" w:themeColor="accent1"/>
    </w:rPr>
  </w:style>
  <w:style w:type="character" w:styleId="ae">
    <w:name w:val="Subtle Emphasis"/>
    <w:uiPriority w:val="19"/>
    <w:qFormat/>
    <w:rsid w:val="001D0355"/>
    <w:rPr>
      <w:i/>
      <w:iCs/>
      <w:color w:val="404040" w:themeColor="text1" w:themeTint="BF"/>
    </w:rPr>
  </w:style>
  <w:style w:type="character" w:styleId="af">
    <w:name w:val="Intense Emphasis"/>
    <w:uiPriority w:val="21"/>
    <w:qFormat/>
    <w:rsid w:val="001D0355"/>
    <w:rPr>
      <w:i/>
      <w:iCs/>
      <w:color w:val="5B9BD5" w:themeColor="accent1"/>
    </w:rPr>
  </w:style>
  <w:style w:type="character" w:styleId="af0">
    <w:name w:val="Subtle Reference"/>
    <w:uiPriority w:val="31"/>
    <w:qFormat/>
    <w:rsid w:val="001D0355"/>
    <w:rPr>
      <w:smallCaps/>
      <w:color w:val="5A5A5A" w:themeColor="text1" w:themeTint="A5"/>
    </w:rPr>
  </w:style>
  <w:style w:type="character" w:styleId="af1">
    <w:name w:val="Intense Reference"/>
    <w:uiPriority w:val="32"/>
    <w:qFormat/>
    <w:rsid w:val="001D0355"/>
    <w:rPr>
      <w:b/>
      <w:bCs/>
      <w:smallCaps/>
      <w:color w:val="5B9BD5" w:themeColor="accent1"/>
      <w:spacing w:val="5"/>
    </w:rPr>
  </w:style>
  <w:style w:type="character" w:styleId="af2">
    <w:name w:val="Book Title"/>
    <w:uiPriority w:val="33"/>
    <w:qFormat/>
    <w:rsid w:val="001D0355"/>
    <w:rPr>
      <w:b/>
      <w:bCs/>
      <w:i/>
      <w:iCs/>
      <w:spacing w:val="5"/>
    </w:rPr>
  </w:style>
  <w:style w:type="paragraph" w:styleId="af3">
    <w:name w:val="TOC Heading"/>
    <w:basedOn w:val="1"/>
    <w:next w:val="a"/>
    <w:uiPriority w:val="39"/>
    <w:semiHidden/>
    <w:unhideWhenUsed/>
    <w:qFormat/>
    <w:rsid w:val="001D0355"/>
    <w:pPr>
      <w:outlineLvl w:val="9"/>
    </w:pPr>
  </w:style>
  <w:style w:type="paragraph" w:customStyle="1" w:styleId="ConsPlusNormal">
    <w:name w:val="ConsPlusNormal"/>
    <w:rsid w:val="00687E0F"/>
    <w:pPr>
      <w:widowControl w:val="0"/>
      <w:autoSpaceDE w:val="0"/>
      <w:autoSpaceDN w:val="0"/>
      <w:spacing w:after="0" w:line="240" w:lineRule="auto"/>
    </w:pPr>
    <w:rPr>
      <w:rFonts w:ascii="Times New Roman" w:eastAsia="Times New Roman" w:hAnsi="Times New Roman" w:cs="Times New Roman"/>
      <w:szCs w:val="20"/>
      <w:lang w:eastAsia="ru-RU"/>
    </w:rPr>
  </w:style>
  <w:style w:type="paragraph" w:customStyle="1" w:styleId="ConsPlusTitle">
    <w:name w:val="ConsPlusTitle"/>
    <w:rsid w:val="00687E0F"/>
    <w:pPr>
      <w:widowControl w:val="0"/>
      <w:autoSpaceDE w:val="0"/>
      <w:autoSpaceDN w:val="0"/>
      <w:spacing w:after="0" w:line="240" w:lineRule="auto"/>
    </w:pPr>
    <w:rPr>
      <w:rFonts w:ascii="Times New Roman" w:eastAsia="Times New Roman" w:hAnsi="Times New Roman" w:cs="Times New Roman"/>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8494714AA77924B3F1780F30D9A18CE921CB9204AE95E9AF76A713F21A7C72A3D02D3BB95D8F0D976B15DDB153022877BDBF9A01A39AFE644D90787EIC19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8494714AA77924B3F178113DCFCDD2ED23C6C90BA996E4FA2CFB15A5452C74F6826D65E01FCF1E976A0ADEB658I019H" TargetMode="External"/><Relationship Id="rId5" Type="http://schemas.openxmlformats.org/officeDocument/2006/relationships/hyperlink" Target="consultantplus://offline/ref=8494714AA77924B3F178113DCFCDD2ED23C6C90BA996E4FA2CFB15A5452C74F6826D65E01FCF1E976A0ADEB658I019H" TargetMode="External"/><Relationship Id="rId4" Type="http://schemas.openxmlformats.org/officeDocument/2006/relationships/hyperlink" Target="consultantplus://offline/ref=8494714AA77924B3F1780F30D9A18CE921CB9204AE95E9AF73A713F21A7C72A3D02D3BB95D8F0D976B14DDB458022877BDBF9A01A39AFE644D90787EIC19H"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Другая 1">
      <a:majorFont>
        <a:latin typeface="Times New Roman"/>
        <a:ea typeface=""/>
        <a:cs typeface=""/>
      </a:majorFont>
      <a:minorFont>
        <a:latin typeface="Times New Roman"/>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869</Words>
  <Characters>4959</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bud1</dc:creator>
  <cp:keywords/>
  <dc:description/>
  <cp:lastModifiedBy>bud1</cp:lastModifiedBy>
  <cp:revision>1</cp:revision>
  <dcterms:created xsi:type="dcterms:W3CDTF">2020-11-14T07:53:00Z</dcterms:created>
  <dcterms:modified xsi:type="dcterms:W3CDTF">2020-11-14T07:53:00Z</dcterms:modified>
</cp:coreProperties>
</file>