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органом внутреннего муниципального финансового контроля в 2022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FD" w:rsidRDefault="00ED323D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11 федерального стандарта внутреннего государственного (муниципального)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 w:rsidR="00004114">
        <w:rPr>
          <w:rFonts w:ascii="Times New Roman" w:hAnsi="Times New Roman" w:cs="Times New Roman"/>
          <w:sz w:val="24"/>
          <w:szCs w:val="24"/>
        </w:rPr>
        <w:t>, начальником отдела финансового контроля Администрации Молчановского района проведено 1 внеплановое контрольное мероприятие:</w:t>
      </w:r>
    </w:p>
    <w:p w:rsidR="00004114" w:rsidRDefault="00004114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004114" w:rsidTr="00004114">
        <w:tc>
          <w:tcPr>
            <w:tcW w:w="2093" w:type="dxa"/>
          </w:tcPr>
          <w:p w:rsidR="00004114" w:rsidRPr="00004114" w:rsidRDefault="00004114" w:rsidP="0000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004114" w:rsidRPr="00004114" w:rsidRDefault="00004114" w:rsidP="00531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E33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004114" w:rsidRPr="00004114" w:rsidRDefault="00004114" w:rsidP="0000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004114" w:rsidTr="00004114">
        <w:tc>
          <w:tcPr>
            <w:tcW w:w="2093" w:type="dxa"/>
          </w:tcPr>
          <w:p w:rsidR="00004114" w:rsidRPr="00004114" w:rsidRDefault="00004114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А.С. Пушкина» (МБОУ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  <w:tc>
          <w:tcPr>
            <w:tcW w:w="2551" w:type="dxa"/>
          </w:tcPr>
          <w:p w:rsidR="00004114" w:rsidRPr="00004114" w:rsidRDefault="00004114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деятельности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в части законности и обоснованности оплаты труда педагогических работников»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30BE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 Администрации Молчановского района 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>«О проведении внепланового контрольного меро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приятия» от 10.01.2022 № 01 – </w:t>
            </w:r>
            <w:proofErr w:type="gramStart"/>
            <w:r w:rsidR="00FB71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7" w:type="dxa"/>
          </w:tcPr>
          <w:p w:rsidR="00C00B47" w:rsidRPr="00C00B47" w:rsidRDefault="00C00B47" w:rsidP="00B9457E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</w:t>
            </w:r>
            <w:r w:rsidR="00C073F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Акт камеральной проверки от 17.02.2022, </w:t>
            </w: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выявлены сл</w:t>
            </w:r>
            <w:r w:rsidR="00854DB4">
              <w:rPr>
                <w:rFonts w:ascii="Times New Roman" w:hAnsi="Times New Roman" w:cs="Times New Roman"/>
                <w:sz w:val="20"/>
                <w:szCs w:val="20"/>
              </w:rPr>
              <w:t>едующие нарушения  и недостатки.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Компенсационные выплаты, установленные Положением </w:t>
            </w:r>
            <w:r w:rsidR="00B56E5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об оплате труда работников </w:t>
            </w:r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Могочинская</w:t>
            </w:r>
            <w:proofErr w:type="spellEnd"/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СОШ» не соответствуют </w:t>
            </w:r>
            <w:r w:rsidR="00B56E50" w:rsidRPr="00B56E50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 w:rsidR="00B56E5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B56E50" w:rsidRPr="00B56E50">
              <w:rPr>
                <w:rFonts w:ascii="Times New Roman" w:hAnsi="Times New Roman" w:cs="Times New Roman"/>
                <w:sz w:val="20"/>
                <w:szCs w:val="20"/>
              </w:rPr>
              <w:t xml:space="preserve"> о системе оплаты труда областных государственных учреждений, находящихся в ведении Департамента общего образовани</w:t>
            </w:r>
            <w:r w:rsidR="00B56E50">
              <w:rPr>
                <w:rFonts w:ascii="Times New Roman" w:hAnsi="Times New Roman" w:cs="Times New Roman"/>
                <w:sz w:val="20"/>
                <w:szCs w:val="20"/>
              </w:rPr>
              <w:t xml:space="preserve">я Томской области, утвержденным </w:t>
            </w:r>
            <w:r w:rsidR="00B56E50" w:rsidRPr="00B56E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 Администрации Томской области от 17.08.2009  </w:t>
            </w:r>
            <w:r w:rsidR="00B56E50">
              <w:rPr>
                <w:rFonts w:ascii="Times New Roman" w:hAnsi="Times New Roman" w:cs="Times New Roman"/>
                <w:sz w:val="20"/>
                <w:szCs w:val="20"/>
              </w:rPr>
              <w:t xml:space="preserve"> № 137а.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Пунктами 3.5.1 – 3.6.3 </w:t>
            </w:r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Положением </w:t>
            </w:r>
            <w:r w:rsidR="00B56E5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об оплате труда работников </w:t>
            </w:r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МБОУ «</w:t>
            </w:r>
            <w:proofErr w:type="spellStart"/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Могочинская</w:t>
            </w:r>
            <w:proofErr w:type="spellEnd"/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СОШ» </w:t>
            </w:r>
            <w:r w:rsidRPr="00C00B4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 </w:t>
            </w:r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установлен диапазон размера компенсационных выплат, а не фиксированный размер, что недопустимо</w:t>
            </w:r>
            <w:r w:rsidRPr="00C00B4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и противоречит 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учреждений.</w:t>
            </w:r>
          </w:p>
          <w:p w:rsidR="00B56E50" w:rsidRDefault="00C00B47" w:rsidP="00C00B47">
            <w:pPr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E50">
              <w:rPr>
                <w:rFonts w:ascii="Times New Roman" w:hAnsi="Times New Roman" w:cs="Times New Roman"/>
                <w:sz w:val="20"/>
                <w:szCs w:val="20"/>
              </w:rPr>
              <w:t>Положение о премировании и материальной помощи МБОУ «</w:t>
            </w:r>
            <w:proofErr w:type="spellStart"/>
            <w:r w:rsidRPr="00B56E50">
              <w:rPr>
                <w:rFonts w:ascii="Times New Roman" w:hAnsi="Times New Roman" w:cs="Times New Roman"/>
                <w:sz w:val="20"/>
                <w:szCs w:val="20"/>
              </w:rPr>
              <w:t>Могочинская</w:t>
            </w:r>
            <w:proofErr w:type="spellEnd"/>
            <w:r w:rsidRPr="00B56E50">
              <w:rPr>
                <w:rFonts w:ascii="Times New Roman" w:hAnsi="Times New Roman" w:cs="Times New Roman"/>
                <w:sz w:val="20"/>
                <w:szCs w:val="20"/>
              </w:rPr>
              <w:t xml:space="preserve"> СОШ» не соответствует пункту 25 Положения о системе оплаты труда работников муниципальных образовательных учреждений Молчановского района, утвержденного постановлением Администрации Молчановс</w:t>
            </w:r>
            <w:r w:rsidR="00B56E50">
              <w:rPr>
                <w:rFonts w:ascii="Times New Roman" w:hAnsi="Times New Roman" w:cs="Times New Roman"/>
                <w:sz w:val="20"/>
                <w:szCs w:val="20"/>
              </w:rPr>
              <w:t>кого района от 27.08.2009 № 377.</w:t>
            </w:r>
          </w:p>
          <w:p w:rsidR="00C00B47" w:rsidRPr="00B56E50" w:rsidRDefault="00C00B47" w:rsidP="00C00B47">
            <w:pPr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E50">
              <w:rPr>
                <w:rFonts w:ascii="Times New Roman" w:hAnsi="Times New Roman" w:cs="Times New Roman"/>
                <w:sz w:val="20"/>
                <w:szCs w:val="20"/>
              </w:rPr>
              <w:t>Размер премий и материальной помощи локальными  актами объекта контроля не определен.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Критерии, установленные Порядком по распределению иных стимулирующих выплат, не могут быть учтены при распределении иных межбюджетных трансфертов на достижение целевых показателей в части повышения заработной платы педагогических работников объекта контроля, поскольку дублируют выплаты компенсационного и стимулирующего характера, установленные </w:t>
            </w:r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Положением </w:t>
            </w:r>
            <w:r w:rsidR="00B56E5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об оплате труда работников </w:t>
            </w:r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МБОУ «</w:t>
            </w:r>
            <w:proofErr w:type="spellStart"/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>Могочинская</w:t>
            </w:r>
            <w:proofErr w:type="spellEnd"/>
            <w:r w:rsidR="00B56E50"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СОШ»</w:t>
            </w:r>
            <w:r w:rsidR="00B56E50"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Установленное Порядком по распределению иных стимулирующих выплат весовое значение каждого показателя в денежном эквиваленте не способствует соблюдению принципов, определенных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ind w:left="0" w:right="52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Штатное расписание не содержит информации об окладах, надбавках, не содержит разделения на квалификационные группы должностей, разряды и не устанавливает месячный фонд заработной платы объекта контроля. Тарификационные списки не отражают все установленные компенсационные и стимулирующие выплаты.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ind w:left="0" w:right="52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В приказах на осуществление выплат не указывается основания к выплатам.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комиссии по распределению </w:t>
            </w:r>
            <w:r w:rsidRPr="00C00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стимулирующих выплат за проверяемый период оформлены с нарушением требований ГОСТа. 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Протоколы комиссии по распределению стимулирующих выплат не сформированы в дела, отсутствует индекс дела по номенклатуре.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Аналитическая информация о показателях деятельности каждого педагогического работника, подготовленная  комиссией по распределению стимулирующих выплат к проверке не представлена и у объекта контроля отсутствует.</w:t>
            </w:r>
          </w:p>
          <w:p w:rsidR="00C00B47" w:rsidRPr="00C00B47" w:rsidRDefault="00C00B47" w:rsidP="00C00B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Установлены расхождения данных по размеру иных стимулирующих выплат в приказе объекта контроля от 30.12.2020 № 257 «О стимулирующих выплатах» и П</w:t>
            </w:r>
            <w:r w:rsidRPr="00C00B4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ротоколе </w:t>
            </w: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>комиссии по распределению стимулирующих выплат от 29.10.2020 № 2.</w:t>
            </w:r>
          </w:p>
          <w:p w:rsidR="00C073F4" w:rsidRPr="00C073F4" w:rsidRDefault="00C073F4" w:rsidP="00C073F4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В целях пресечения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льнейшего совершения нарушений </w:t>
            </w: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вынесено представление от 14.04.2022 (№ 05-06-1013/22)</w:t>
            </w: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04114" w:rsidRPr="00004114" w:rsidRDefault="00C073F4" w:rsidP="00C073F4">
            <w:pPr>
              <w:autoSpaceDE w:val="0"/>
              <w:autoSpaceDN w:val="0"/>
              <w:adjustRightInd w:val="0"/>
              <w:ind w:left="-108" w:firstLine="8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объектом контроля предоставлены оправдательные документы, </w:t>
            </w: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 xml:space="preserve"> приняты меры по устранению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04114" w:rsidRDefault="00004114" w:rsidP="0000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Default="005E33FB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контрольных мероприятий по внутреннему муниципальному финансовому контролю в муниципальном образовании «Молчановский район» на 2022 год, утвержденным распоряжением Администрации Молчановского района от 29.12.2021 № 428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начальником отдела финансового контроля проведены 3 контрольных мероприятия:</w:t>
      </w:r>
    </w:p>
    <w:p w:rsidR="00B92CE2" w:rsidRDefault="00B92CE2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5E33FB" w:rsidTr="005E33FB">
        <w:tc>
          <w:tcPr>
            <w:tcW w:w="2093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5E33FB" w:rsidRPr="00004114" w:rsidRDefault="005E33FB" w:rsidP="00531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5E33FB" w:rsidTr="005E33FB">
        <w:tc>
          <w:tcPr>
            <w:tcW w:w="2093" w:type="dxa"/>
          </w:tcPr>
          <w:p w:rsidR="005E33FB" w:rsidRPr="005E33FB" w:rsidRDefault="005E33FB" w:rsidP="005E3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33FB">
              <w:rPr>
                <w:rFonts w:ascii="Times New Roman" w:hAnsi="Times New Roman" w:cs="Times New Roman"/>
                <w:sz w:val="20"/>
                <w:szCs w:val="20"/>
              </w:rPr>
              <w:t>сполнительно – распорядительный орган муниципального образования Суйгинского сельского поселения – Администрация Суйгинского сельского поселения</w:t>
            </w:r>
          </w:p>
        </w:tc>
        <w:tc>
          <w:tcPr>
            <w:tcW w:w="2551" w:type="dxa"/>
          </w:tcPr>
          <w:p w:rsidR="005E33FB" w:rsidRPr="005E33FB" w:rsidRDefault="005E33FB" w:rsidP="0053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средств субсидии, предоставленной в 2021 году муниципальному образованию «Суйгинское сельское поселение» на компенсацию расходов по организации электроснабжения от дизельных электростанций в рамках государственной программы «Улучшение инвестиционного климата и развитие экспорта в Томской области»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t xml:space="preserve">/ распоряжение Администрации Молчановского района «О проведении контрольного мероприятия» от 10.03.2022 № 67 – </w:t>
            </w:r>
            <w:proofErr w:type="gramStart"/>
            <w:r w:rsidR="005312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312D0">
              <w:rPr>
                <w:rFonts w:ascii="Times New Roman" w:hAnsi="Times New Roman" w:cs="Times New Roman"/>
                <w:sz w:val="20"/>
                <w:szCs w:val="20"/>
              </w:rPr>
              <w:t xml:space="preserve">, распоряжение Администрации Молчановского района «О приостановлении контрольного мероприятия» от 18.03.2022 № 81 – р, распоряжение Администрации Молчановского района «О внесении изменений в </w:t>
            </w:r>
            <w:r w:rsidR="00531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 Администрации Молчановского района от 10.03.2022 № 67 – </w:t>
            </w:r>
            <w:proofErr w:type="gramStart"/>
            <w:r w:rsidR="005312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312D0">
              <w:rPr>
                <w:rFonts w:ascii="Times New Roman" w:hAnsi="Times New Roman" w:cs="Times New Roman"/>
                <w:sz w:val="20"/>
                <w:szCs w:val="20"/>
              </w:rPr>
              <w:t>» от 08.04.2022 № 114 – р, распоряжение Администрации Молчановского района «О возобновлении проведения контрольного мероп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>риятия» от 08.04.2022 № 115 – р</w:t>
            </w:r>
          </w:p>
        </w:tc>
        <w:tc>
          <w:tcPr>
            <w:tcW w:w="5637" w:type="dxa"/>
          </w:tcPr>
          <w:p w:rsidR="00D3321E" w:rsidRDefault="00744557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 Акт камеральной проверки от 08.06.2022</w:t>
            </w:r>
            <w:r w:rsidR="00D332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3321E" w:rsidRPr="00D3321E" w:rsidRDefault="00D3321E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21E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установлено, что Субсидия из бюджета муниципального образования «Молчановский район» предоставлена бюджету муниципального образования «Суйгинское сельское поселение» в соответствии с условиями Соглашения.</w:t>
            </w:r>
          </w:p>
          <w:p w:rsidR="005E33FB" w:rsidRDefault="00D3321E" w:rsidP="00D3321E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21E">
              <w:rPr>
                <w:rFonts w:ascii="Times New Roman" w:hAnsi="Times New Roman" w:cs="Times New Roman"/>
                <w:sz w:val="20"/>
                <w:szCs w:val="20"/>
              </w:rPr>
              <w:t>Субсидия из бюджета муниципального образования «Суйгинское сельское поселение» предоставлена получателю Субсидии ИП Суханову О.Н. в объеме доведенных бюджетных ассигнований и лимитов бюджетных обязательств, предусмотренных решением о бюджете.</w:t>
            </w:r>
          </w:p>
          <w:p w:rsidR="00B956D1" w:rsidRPr="00B956D1" w:rsidRDefault="00B956D1" w:rsidP="00B956D1">
            <w:pPr>
              <w:pStyle w:val="a4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>При оценке правомерно</w:t>
            </w:r>
            <w:bookmarkStart w:id="0" w:name="_GoBack"/>
            <w:bookmarkEnd w:id="0"/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 xml:space="preserve">сти принятия решения объектом контроля о предоставлении Субсидии несоответствия представленных документов требованиям, установленным Порядком </w:t>
            </w:r>
            <w:r w:rsidR="00650E49" w:rsidRPr="00650E49">
              <w:rPr>
                <w:rFonts w:ascii="Times New Roman" w:eastAsiaTheme="minorHAnsi" w:hAnsi="Times New Roman"/>
                <w:sz w:val="20"/>
                <w:szCs w:val="20"/>
              </w:rPr>
      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на компенсацию затрат по организации электроснабжения от дизельных электростанций</w:t>
            </w:r>
            <w:r w:rsidR="00650E49">
              <w:rPr>
                <w:rFonts w:ascii="Times New Roman" w:eastAsiaTheme="minorHAnsi" w:hAnsi="Times New Roman"/>
                <w:sz w:val="20"/>
                <w:szCs w:val="20"/>
              </w:rPr>
              <w:t>, утверждённым Администрацией</w:t>
            </w:r>
            <w:r w:rsidR="00650E49" w:rsidRPr="00650E49">
              <w:rPr>
                <w:rFonts w:ascii="Times New Roman" w:eastAsiaTheme="minorHAnsi" w:hAnsi="Times New Roman"/>
                <w:sz w:val="20"/>
                <w:szCs w:val="20"/>
              </w:rPr>
              <w:t xml:space="preserve"> Суйгинского сельского поселения от 15.04.2021 № 5</w:t>
            </w:r>
            <w:r w:rsidR="00650E4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="00650E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50E4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>не выявлено.</w:t>
            </w:r>
            <w:proofErr w:type="gramEnd"/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 xml:space="preserve"> Вместе с тем объекту контроля необходимо усилить </w:t>
            </w:r>
            <w:proofErr w:type="gramStart"/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>контроль за</w:t>
            </w:r>
            <w:proofErr w:type="gramEnd"/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 xml:space="preserve"> оформлением и сроком предоставления документов получателем Субсидии.</w:t>
            </w:r>
          </w:p>
          <w:p w:rsidR="00B956D1" w:rsidRPr="00B956D1" w:rsidRDefault="00B956D1" w:rsidP="00B956D1">
            <w:pPr>
              <w:pStyle w:val="a4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 xml:space="preserve">В результате </w:t>
            </w:r>
            <w:proofErr w:type="gramStart"/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>оценки соблюдения условий предоставления Субсидии</w:t>
            </w:r>
            <w:proofErr w:type="gramEnd"/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 xml:space="preserve"> и порядка заключения соглашений с получателем Субсидии объекту контроля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даны рекомендации.</w:t>
            </w:r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B956D1" w:rsidRDefault="00B956D1" w:rsidP="00B956D1">
            <w:pPr>
              <w:pStyle w:val="a4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56D1">
              <w:rPr>
                <w:rFonts w:ascii="Times New Roman" w:eastAsiaTheme="minorHAnsi" w:hAnsi="Times New Roman"/>
                <w:sz w:val="20"/>
                <w:szCs w:val="20"/>
              </w:rPr>
              <w:t>Контрольным мероприятием установлено, что средства Субсидии направлены на исполнение обязательств. При проверке освоения Субсидии нецелевого использования средств не установлено.</w:t>
            </w:r>
          </w:p>
          <w:p w:rsidR="00B92CE2" w:rsidRPr="00B956D1" w:rsidRDefault="00B92CE2" w:rsidP="00B956D1">
            <w:pPr>
              <w:pStyle w:val="a4"/>
              <w:ind w:firstLine="56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Представление/предписание объекту контроля не выдавалось.</w:t>
            </w:r>
          </w:p>
          <w:p w:rsidR="00B956D1" w:rsidRPr="005E33FB" w:rsidRDefault="00B956D1" w:rsidP="00B956D1">
            <w:pPr>
              <w:pStyle w:val="a4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21E" w:rsidTr="005E33FB">
        <w:tc>
          <w:tcPr>
            <w:tcW w:w="2093" w:type="dxa"/>
          </w:tcPr>
          <w:p w:rsidR="00D3321E" w:rsidRDefault="00DE2874" w:rsidP="005E3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Исполнительный орган  местного самоуправления муниципального образования Администрация Молчановского района Томской области</w:t>
            </w:r>
          </w:p>
        </w:tc>
        <w:tc>
          <w:tcPr>
            <w:tcW w:w="2551" w:type="dxa"/>
          </w:tcPr>
          <w:p w:rsidR="00D3321E" w:rsidRDefault="00580F30" w:rsidP="0058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использования средств субсидии, предоставленной в 2021 году муниципальному образованию «Молчановский район» на реализацию мероприятий по обеспечению жильем молодых семей в рамках подпрограммы </w:t>
            </w:r>
            <w:r w:rsidRPr="00580F30">
              <w:rPr>
                <w:rFonts w:ascii="Times New Roman" w:hAnsi="Times New Roman" w:cs="Times New Roman"/>
                <w:sz w:val="20"/>
                <w:szCs w:val="20"/>
              </w:rPr>
              <w:t>«Оказание государственной поддержки на улучшение жилищных условий отдельных категорий граждан» государственной программы субъекта Российской Федерации «Жилье и городская среда Томской области» с целью выявления неисполнения или ненадлежащего исполнения условий предоставления субсидии, нецелевого использования бюджетных средств»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Молчановского района «О проведении контрольного мероп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риятия» от 06.04.2022 № 103 – </w:t>
            </w:r>
            <w:proofErr w:type="gramStart"/>
            <w:r w:rsidR="00FB71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7" w:type="dxa"/>
          </w:tcPr>
          <w:p w:rsidR="00D3321E" w:rsidRDefault="00580F30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составлен Акт камеральной проверки от 28.04.2022.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установлено, что Субсидия из областного бюджета предоставлена бюджету муниципального образования «Молчановский район» в соответствии с условиями Соглашения.</w:t>
            </w:r>
          </w:p>
          <w:p w:rsidR="00B92CE2" w:rsidRPr="00B92CE2" w:rsidRDefault="00B92CE2" w:rsidP="00B92CE2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Субсидии, предоставленные в 2022 году муниципальному образованию «Молчановский район» на реализацию мероприятия государственной программы РФ освоены в полном объеме по целевому назначению. 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Отчетом об использовании межбюджетных трансфертов из федерального бюджета бюджетами субъектом Российской Федерации, муниципальными образованиями и территориальными государственными внебюджетными фондами (форма 0503324) по состоянию на 01.01.2023, сформированным финансовым органом муниципального образования «Молчановский район», подтверждено отсутствие остатков средств Субсидии. 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>Объектом контроля обеспечено достижение значений результатов использования Субсидии, установленных в соответствии с приложением № 2 к Соглашению (количество молодых семей, получивших свидетельство о праве на получение социальной выплаты – 1 единицы).</w:t>
            </w:r>
          </w:p>
          <w:p w:rsid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92C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Средства бюджета Томской области, предоставленные муниципальному образованию «Молчановский район», выделенные на реализацию мероприятий по обеспечению жильем молодых семей в рамках подпрограммы «Оказание государственной поддержки на улучшение жилищных условий отдельных категорий граждан» государственной программы субъекта Российской Федерации «Жилье и городская среда Томской области», в полном объёме направлены на исполнение обязательств. При проверке освоения Субсидии нецелевого использования средств не выявлено.</w:t>
            </w:r>
          </w:p>
          <w:p w:rsidR="00B92CE2" w:rsidRP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B92CE2" w:rsidRPr="00C00B47" w:rsidRDefault="00B92CE2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CE2" w:rsidTr="005E33FB">
        <w:tc>
          <w:tcPr>
            <w:tcW w:w="2093" w:type="dxa"/>
          </w:tcPr>
          <w:p w:rsidR="00B92CE2" w:rsidRDefault="00F020CF" w:rsidP="005E3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«Ромашка»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 xml:space="preserve"> (МБДОУ д/с «Ромашка»)</w:t>
            </w:r>
          </w:p>
        </w:tc>
        <w:tc>
          <w:tcPr>
            <w:tcW w:w="2551" w:type="dxa"/>
          </w:tcPr>
          <w:p w:rsidR="00B92CE2" w:rsidRDefault="0082734B" w:rsidP="0058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начисления, выплаты заработной платы и соответствия фактической оплаты труда работников действующему законодательству и локальным правовым актам в МБДОУ д/с «Ромашка»/распоряжение Администрации Молчановского района «О проведении контрольного мероприятия» от 15.08.2022 № 305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B92CE2" w:rsidRDefault="0082734B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составлен Акт кам</w:t>
            </w:r>
            <w:r w:rsidR="00494262">
              <w:rPr>
                <w:rFonts w:ascii="Times New Roman" w:hAnsi="Times New Roman" w:cs="Times New Roman"/>
                <w:sz w:val="20"/>
                <w:szCs w:val="20"/>
              </w:rPr>
              <w:t>еральной проверки от 28.10.2022, выявленные следующие нарушения и недостатки.</w:t>
            </w:r>
          </w:p>
          <w:p w:rsidR="00D70CE8" w:rsidRPr="00D70CE8" w:rsidRDefault="00D70CE8" w:rsidP="00D70CE8">
            <w:pPr>
              <w:pStyle w:val="ConsPlusTitle"/>
              <w:numPr>
                <w:ilvl w:val="0"/>
                <w:numId w:val="2"/>
              </w:numPr>
              <w:tabs>
                <w:tab w:val="left" w:pos="0"/>
              </w:tabs>
              <w:ind w:left="34" w:firstLine="671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D70CE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Оклад по должности «медицинская сестра» не соответствует Положению о системе оплаты труда работников областных государственных учреждений, находящихся в ведении Департамента здравоохранения Томской области. Наименование должности «старшая медицинская сестра» с должностным окладом III квалификационного уровня не соответствует приказу Минздрава РФ от 06.08.2007 № 526.</w:t>
            </w:r>
          </w:p>
          <w:p w:rsidR="00D70CE8" w:rsidRPr="00D70CE8" w:rsidRDefault="00D70CE8" w:rsidP="00D70C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59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Положением об оплате труда работников муниципального бюджетного дошкольного образовательного учреждения детский сад «Ромашка» не предусмотрены компенсационные выплаты за совмещение профессий (должностей), за расширение зон обслуживания, выплата за </w:t>
            </w:r>
            <w:r w:rsidRPr="00D70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в местностях с особыми климатическими условиями. Размеры компенсационных выплат за работы в учреждении, расположенном в сельской местности локальным актом не установлены.</w:t>
            </w:r>
          </w:p>
          <w:p w:rsidR="00D70CE8" w:rsidRPr="00D70CE8" w:rsidRDefault="00D70CE8" w:rsidP="00D70C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68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Положением об оплате труда работников муниципального бюджетного дошкольного образовательного учреждения детский сад «Ромашка» ежемесячная надбавка за стаж работы (выслугу лет) не соответствует правовым актам, регламентирующим оплату труда работников образования.</w:t>
            </w:r>
          </w:p>
          <w:p w:rsidR="00D70CE8" w:rsidRPr="00D70CE8" w:rsidRDefault="00D70CE8" w:rsidP="00D70C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168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В Перечне надбавок и доплат (</w:t>
            </w:r>
            <w:proofErr w:type="gramStart"/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proofErr w:type="gramEnd"/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Положением о стимулирующих выплатах педагогам МБДОУ д/с «Ромашка») при расчете выплат за соответствие критериям  и показателям качества и результативности труда педагогических работников отсутствует единообразие. Отдельные показатели не характеризуют качество выполняемой работы. Показатели и критерии, установленные Положением о стимулирующих выплатах педагогам МБДОУ д/с «Ромашка» дублируют стимулирующие выплаты в виде доплат и надбавок, установленные Положением об оплате труда работников муниципального бюджетного дошкольного образовательного учреждения детский сад «Ромашка».</w:t>
            </w:r>
          </w:p>
          <w:p w:rsidR="00D70CE8" w:rsidRPr="00D70CE8" w:rsidRDefault="00D70CE8" w:rsidP="00D70CE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Отсутствие штатного расписания.</w:t>
            </w:r>
          </w:p>
          <w:p w:rsidR="00D70CE8" w:rsidRPr="00D70CE8" w:rsidRDefault="00D70CE8" w:rsidP="00D70CE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Карточки – справки о форме 0504417 не заполняются в соответствии с Минфина России от 30.03.2015 № 52н, заработная плата по разным должностям ведется в одной карточке – справке, на совместителей не заводится отдельный лицевой счет.</w:t>
            </w:r>
          </w:p>
          <w:p w:rsidR="00D70CE8" w:rsidRPr="00D70CE8" w:rsidRDefault="00D70CE8" w:rsidP="00D70CE8">
            <w:pPr>
              <w:pStyle w:val="ConsPlusTitle"/>
              <w:numPr>
                <w:ilvl w:val="0"/>
                <w:numId w:val="2"/>
              </w:numPr>
              <w:tabs>
                <w:tab w:val="left" w:pos="0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D70CE8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>Установлен факт нарушения трудового законодательства, в части выполнения работы заведующей в порядке совместительства в основное рабочее время и без согласия работодателя.</w:t>
            </w:r>
          </w:p>
          <w:p w:rsidR="00D70CE8" w:rsidRPr="00D70CE8" w:rsidRDefault="00D70CE8" w:rsidP="00D70CE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получение </w:t>
            </w:r>
            <w:proofErr w:type="gramStart"/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заведующей</w:t>
            </w:r>
            <w:proofErr w:type="gramEnd"/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средств, не предусмотренных трудовым договором от 01.07.2021, в части доплаты за совместительство на основании  приказов в отношении себя, без отсутствия полномочий.  </w:t>
            </w:r>
          </w:p>
          <w:p w:rsidR="00D70CE8" w:rsidRPr="00D70CE8" w:rsidRDefault="00D70CE8" w:rsidP="00D70C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Труд сотрудников, относящихся к общеотраслевым профессиям рабочих, на регулярной основе используется в качестве совместительства с превышением предела рабочего времени.</w:t>
            </w:r>
          </w:p>
          <w:p w:rsidR="00D70CE8" w:rsidRPr="00D70CE8" w:rsidRDefault="00D70CE8" w:rsidP="00D70CE8">
            <w:pPr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За выполнение дополнительной работы на время отсутствия основного работника (без освобождения от основной работы) начисления произведены в размере МРОТ.</w:t>
            </w:r>
          </w:p>
          <w:p w:rsidR="00D70CE8" w:rsidRPr="00D70CE8" w:rsidRDefault="00D70CE8" w:rsidP="00D70C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Выявлен факт незаконной выплаты произвольно установленных окладов, не соответствующих тарификационным спискам и нормативных документам, регламентирующим оплату труда работников объекта контроля.</w:t>
            </w:r>
          </w:p>
          <w:p w:rsidR="00D70CE8" w:rsidRPr="00D70CE8" w:rsidRDefault="00D70CE8" w:rsidP="00D70CE8">
            <w:pPr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Не учитываются требования локальных актов, регламентирующих систему оплаты труда работников, начисления заработной платы осуществляется непосредственно </w:t>
            </w:r>
            <w:proofErr w:type="gramStart"/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 МРОТ.</w:t>
            </w:r>
          </w:p>
          <w:p w:rsidR="00D70CE8" w:rsidRPr="00D70CE8" w:rsidRDefault="00D70CE8" w:rsidP="00D70CE8">
            <w:pPr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В протоколах заседания комиссии по распределению стимулирующих выплат из межбюджетного трансферта выявлены несоответствия при пересчете баллов, фиксируется неполная информация, предусмотренная Положением о стимулирующих выплатах педагогам МБДОУ д/с «Ромашка».</w:t>
            </w:r>
          </w:p>
          <w:p w:rsidR="00D70CE8" w:rsidRPr="00D70CE8" w:rsidRDefault="00D70CE8" w:rsidP="00D70CE8">
            <w:pPr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Сумма неправомерно начисленных денежных средств (заработная плата, стимулирующие и компенсационные выплаты) за проверяемый период составила </w:t>
            </w:r>
            <w:r w:rsidR="00CE61E4">
              <w:rPr>
                <w:rFonts w:ascii="Times New Roman" w:hAnsi="Times New Roman" w:cs="Times New Roman"/>
                <w:sz w:val="20"/>
                <w:szCs w:val="20"/>
              </w:rPr>
              <w:t>151 142,16</w:t>
            </w: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 рублей (с учетом районного коэффициента и процентной надбавки к заработной плате за стаж работы в местности, приравненной к районам Крайнего Севера), в том </w:t>
            </w:r>
            <w:r w:rsidRPr="00D70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переплата в размере 150 598,64 рублей, недоплата в размере </w:t>
            </w:r>
            <w:r w:rsidR="00CE61E4">
              <w:rPr>
                <w:rFonts w:ascii="Times New Roman" w:hAnsi="Times New Roman" w:cs="Times New Roman"/>
                <w:sz w:val="20"/>
                <w:szCs w:val="20"/>
              </w:rPr>
              <w:t>543,52</w:t>
            </w: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 xml:space="preserve"> рублей.</w:t>
            </w:r>
            <w:proofErr w:type="gramEnd"/>
          </w:p>
          <w:p w:rsidR="00D70CE8" w:rsidRPr="00D70CE8" w:rsidRDefault="00D70CE8" w:rsidP="00D70CE8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CE8">
              <w:rPr>
                <w:rFonts w:ascii="Times New Roman" w:hAnsi="Times New Roman" w:cs="Times New Roman"/>
                <w:sz w:val="20"/>
                <w:szCs w:val="20"/>
              </w:rPr>
              <w:t>С учетом отчислений во внебюджетные фонды сумма переплаты составляет 196 079,43 рубля.</w:t>
            </w:r>
          </w:p>
          <w:p w:rsidR="004D2114" w:rsidRPr="00C073F4" w:rsidRDefault="004D2114" w:rsidP="004D2114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В целях пресечения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льнейшего совершения нарушений </w:t>
            </w: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вынесено представление от 28.11.2022 (№ 05-18-3063/22)</w:t>
            </w:r>
            <w:r w:rsidRPr="00C073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D2114" w:rsidRPr="004D2114" w:rsidRDefault="004D2114" w:rsidP="004D2114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114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представлений объектами контроля приняты меры по устранению нарушений: пересмотрена система распределения стимулирующих выплат, приняты 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восстановлению неправомерно </w:t>
            </w:r>
            <w:r w:rsidRPr="004D2114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начисленных денежных средств, </w:t>
            </w:r>
            <w:proofErr w:type="spellStart"/>
            <w:r w:rsidRPr="004D2114">
              <w:rPr>
                <w:rFonts w:ascii="Times New Roman" w:hAnsi="Times New Roman" w:cs="Times New Roman"/>
                <w:sz w:val="20"/>
                <w:szCs w:val="20"/>
              </w:rPr>
              <w:t>недоначисленная</w:t>
            </w:r>
            <w:proofErr w:type="spellEnd"/>
            <w:r w:rsidRPr="004D2114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заработная плата выплачена работникам.</w:t>
            </w:r>
          </w:p>
          <w:p w:rsidR="004D2114" w:rsidRPr="004D2114" w:rsidRDefault="004D2114" w:rsidP="004D2114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по результатам </w:t>
            </w:r>
            <w:r w:rsidRPr="004D211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контрольного мероприятия направлены в прокуратуру Молчановского района. </w:t>
            </w:r>
          </w:p>
          <w:p w:rsidR="00D70CE8" w:rsidRDefault="00D70CE8" w:rsidP="004D211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3FB" w:rsidRDefault="005E33FB" w:rsidP="005E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DD9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14029D"/>
    <w:rsid w:val="002136DC"/>
    <w:rsid w:val="00372ED9"/>
    <w:rsid w:val="00494262"/>
    <w:rsid w:val="004D2114"/>
    <w:rsid w:val="005312D0"/>
    <w:rsid w:val="00580F30"/>
    <w:rsid w:val="00596875"/>
    <w:rsid w:val="005E33FB"/>
    <w:rsid w:val="00650E49"/>
    <w:rsid w:val="006541DA"/>
    <w:rsid w:val="007030BE"/>
    <w:rsid w:val="00744557"/>
    <w:rsid w:val="0082734B"/>
    <w:rsid w:val="00854DB4"/>
    <w:rsid w:val="008E6DF8"/>
    <w:rsid w:val="009605FD"/>
    <w:rsid w:val="00AE7A44"/>
    <w:rsid w:val="00B56E50"/>
    <w:rsid w:val="00B92CE2"/>
    <w:rsid w:val="00B9457E"/>
    <w:rsid w:val="00B956D1"/>
    <w:rsid w:val="00C00B47"/>
    <w:rsid w:val="00C073F4"/>
    <w:rsid w:val="00CE61E4"/>
    <w:rsid w:val="00D3321E"/>
    <w:rsid w:val="00D54FB4"/>
    <w:rsid w:val="00D70CE8"/>
    <w:rsid w:val="00DE2874"/>
    <w:rsid w:val="00E41F6C"/>
    <w:rsid w:val="00ED323D"/>
    <w:rsid w:val="00F020CF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Пивоварова</dc:creator>
  <cp:keywords/>
  <dc:description/>
  <cp:lastModifiedBy>Елена А. Пивоварова</cp:lastModifiedBy>
  <cp:revision>26</cp:revision>
  <dcterms:created xsi:type="dcterms:W3CDTF">2023-08-28T05:41:00Z</dcterms:created>
  <dcterms:modified xsi:type="dcterms:W3CDTF">2023-08-30T05:50:00Z</dcterms:modified>
</cp:coreProperties>
</file>