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органом внутреннего муниципального финансового контроля в 202</w:t>
      </w:r>
      <w:r w:rsidR="009B47F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BE" w:rsidRDefault="005E33FB" w:rsidP="008F0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контрольных мероприятий по внутреннему муниципальному финансовому контролю в муниципальном образовании «Молчановский район» на 202</w:t>
      </w:r>
      <w:r w:rsidR="00BF6A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Администрации Мо</w:t>
      </w:r>
      <w:r w:rsidR="00BF6AA6">
        <w:rPr>
          <w:rFonts w:ascii="Times New Roman" w:hAnsi="Times New Roman" w:cs="Times New Roman"/>
          <w:sz w:val="24"/>
          <w:szCs w:val="24"/>
        </w:rPr>
        <w:t>лчановского района от 29.12.2022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F6AA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8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начальником отдела </w:t>
      </w:r>
      <w:r w:rsidR="00694D51">
        <w:rPr>
          <w:rFonts w:ascii="Times New Roman" w:hAnsi="Times New Roman" w:cs="Times New Roman"/>
          <w:sz w:val="24"/>
          <w:szCs w:val="24"/>
        </w:rPr>
        <w:t>финансового контроля проведены 5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 w:rsidR="00694D5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2CE2" w:rsidRDefault="00B92CE2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618"/>
        <w:gridCol w:w="5572"/>
      </w:tblGrid>
      <w:tr w:rsidR="005E33FB" w:rsidTr="005E33FB">
        <w:tc>
          <w:tcPr>
            <w:tcW w:w="2093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5E33FB" w:rsidRPr="00004114" w:rsidRDefault="005E33FB" w:rsidP="00531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D3321E" w:rsidTr="005E33FB">
        <w:tc>
          <w:tcPr>
            <w:tcW w:w="2093" w:type="dxa"/>
          </w:tcPr>
          <w:p w:rsidR="00D3321E" w:rsidRDefault="00DE2874" w:rsidP="005E3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орган  местного самоуправления муниципального образования Администрация Молчановского района Томской области</w:t>
            </w:r>
          </w:p>
        </w:tc>
        <w:tc>
          <w:tcPr>
            <w:tcW w:w="2551" w:type="dxa"/>
          </w:tcPr>
          <w:p w:rsidR="00D3321E" w:rsidRDefault="00580F30" w:rsidP="00C82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средств субсидии, предоставленной в 202</w:t>
            </w:r>
            <w:r w:rsidR="00BF6A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муниципальному образованию «Молчановский район» на реализацию мероприятий по обеспечению жильем молодых семей в рамках подпрограммы </w:t>
            </w:r>
            <w:r w:rsidRPr="00580F30">
              <w:rPr>
                <w:rFonts w:ascii="Times New Roman" w:hAnsi="Times New Roman" w:cs="Times New Roman"/>
                <w:sz w:val="20"/>
                <w:szCs w:val="20"/>
              </w:rPr>
              <w:t>«Оказание государственной поддержки на улучшение жилищных условий отдельных категорий граждан» государственной программы субъекта Российской Федерации «Жилье и городская среда Томской области» с целью выявления неисполнения или ненадлежащего исполнения условий предоставления субсидии, нецелевого использования бюджетных средств»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Молчановского района «О проведении контрольного мероп</w:t>
            </w:r>
            <w:r w:rsidR="00C82B7F">
              <w:rPr>
                <w:rFonts w:ascii="Times New Roman" w:hAnsi="Times New Roman" w:cs="Times New Roman"/>
                <w:sz w:val="20"/>
                <w:szCs w:val="20"/>
              </w:rPr>
              <w:t>риятия» от 30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82B7F">
              <w:rPr>
                <w:rFonts w:ascii="Times New Roman" w:hAnsi="Times New Roman" w:cs="Times New Roman"/>
                <w:sz w:val="20"/>
                <w:szCs w:val="20"/>
              </w:rPr>
              <w:t>1.2023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C82B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FB71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7" w:type="dxa"/>
          </w:tcPr>
          <w:p w:rsidR="00D3321E" w:rsidRDefault="00580F30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</w:t>
            </w:r>
            <w:r w:rsidR="00F6518B">
              <w:rPr>
                <w:rFonts w:ascii="Times New Roman" w:hAnsi="Times New Roman" w:cs="Times New Roman"/>
                <w:sz w:val="20"/>
                <w:szCs w:val="20"/>
              </w:rPr>
              <w:t>ен Акт камеральной проверки от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51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651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установлено, что Субсидия из областного бюджета предоставлена бюджету муниципального образования «Молчановский район» в соответствии с условиями Соглашения.</w:t>
            </w:r>
          </w:p>
          <w:p w:rsidR="00B92CE2" w:rsidRPr="00B92CE2" w:rsidRDefault="00B92CE2" w:rsidP="00B92CE2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Субсидии, предоставленные в 2022 году муниципальному образованию «Молчановский район» на реализацию мероприятия государственной программы РФ освоены в полном объеме по целевому назначению. 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Отчетом об использовании межбюджетных трансфертов из федерального бюджета бюджетами субъектом Российской Федерации, муниципальными образованиями и территориальными государственными внебюджетными фондами (форма 0503324) по состоянию на 01.01.2023, сформированным финансовым органом муниципального образования «Молчановский район», подтверждено отсутствие остатков средств Субсидии. 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>Объектом контроля обеспечено достижение значений результатов использования Субсидии, установленных в соответствии с приложением № 2 к Соглашению (количество молодых семей, получивших свидетельство о праве на получение социальной выплаты – 1 единицы).</w:t>
            </w:r>
          </w:p>
          <w:p w:rsid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92C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Средства бюджета Томской области, предоставленные муниципальному образованию «Молчановский район», выделенные на реализацию мероприятий по обеспечению жильем молодых семей в рамках подпрограммы «Оказание государственной поддержки на улучшение жилищных условий отдельных категорий граждан» государственной программы субъекта Российской Федерации «Жилье и городская среда Томской области», в полном объёме направлены на исполнение обязательств. При проверке освоения Субсидии нецелевого ис</w:t>
            </w:r>
            <w:r w:rsidR="002A70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пользования средств не выявлено</w:t>
            </w:r>
          </w:p>
          <w:p w:rsidR="00B92CE2" w:rsidRP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B92CE2" w:rsidRPr="00C00B47" w:rsidRDefault="00B92CE2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CE2" w:rsidTr="005E33FB">
        <w:tc>
          <w:tcPr>
            <w:tcW w:w="2093" w:type="dxa"/>
          </w:tcPr>
          <w:p w:rsidR="00B92CE2" w:rsidRDefault="00F020CF" w:rsidP="00020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0205B1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культуры «</w:t>
            </w:r>
            <w:proofErr w:type="spellStart"/>
            <w:r w:rsidR="000205B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="000205B1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центр народного творчества и досуга» (далее – МАУК </w:t>
            </w:r>
            <w:proofErr w:type="spellStart"/>
            <w:r w:rsidR="000205B1">
              <w:rPr>
                <w:rFonts w:ascii="Times New Roman" w:hAnsi="Times New Roman" w:cs="Times New Roman"/>
                <w:sz w:val="20"/>
                <w:szCs w:val="20"/>
              </w:rPr>
              <w:t>ММЦНТиД</w:t>
            </w:r>
            <w:proofErr w:type="spellEnd"/>
            <w:r w:rsidR="000205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92CE2" w:rsidRDefault="000205B1" w:rsidP="006A4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целевого и эффективного использования средств субсидии, предоставленных в 2022 году муниципальному образованию «Молчановский район» на осуществление государственной поддержки отрасли культуры в целях достижения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проекта «Обеспечение качественного нового уровня развития инфраструктуры» («Культурная среда») и результатов регионального проекта «Культурная среда» в рамках государственной программы «Развитие культуры и туризма в Томской области»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 Молчановского района «О 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контрольного 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от 09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2.2022 № 29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8273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27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B92CE2" w:rsidRDefault="0082734B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контрольного мероприятия составлен Акт кам</w:t>
            </w:r>
            <w:r w:rsidR="00CF617E">
              <w:rPr>
                <w:rFonts w:ascii="Times New Roman" w:hAnsi="Times New Roman" w:cs="Times New Roman"/>
                <w:sz w:val="20"/>
                <w:szCs w:val="20"/>
              </w:rPr>
              <w:t>еральной проверки от 10.05</w:t>
            </w:r>
            <w:r w:rsidR="0049426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F6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4D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0CE8" w:rsidRDefault="002B402F" w:rsidP="002B402F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Контрольным мероприятием установлено, что субсидия из областного бюджета предоставлена бюджету муниципального образования «Молчановский район» в соответствии с условиями соглашения.</w:t>
            </w:r>
          </w:p>
          <w:p w:rsidR="002B402F" w:rsidRDefault="002B402F" w:rsidP="002B402F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Объектом контроля обеспечено достижение значений результатов использования субсидии, установленных в соответствии с приложением № 4 к соглашению (капитально отремонтирована культурно – досуговая организация в сельской местности – 1 единица). </w:t>
            </w:r>
          </w:p>
          <w:p w:rsidR="00F34847" w:rsidRDefault="002B402F" w:rsidP="00F34847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субсидии, предоставленные в 2022 году муниципальному образованию «Молчановский район» </w:t>
            </w:r>
            <w:r w:rsidR="00F3484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F34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достижение результатов федерального проекта «Обеспечение качественного нового уровня развития инфраструктуры» («Культурная среда») и результатов регионального проекта «Культурная среда», в полном объеме направлены на исполнение обязательств. При проверке освоения субсидии нецелевого использования средств не выявлено. </w:t>
            </w:r>
          </w:p>
          <w:p w:rsidR="00F34847" w:rsidRDefault="00F34847" w:rsidP="00F34847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того,  в</w:t>
            </w:r>
            <w:r w:rsidRPr="00F34847">
              <w:rPr>
                <w:rFonts w:ascii="Times New Roman" w:hAnsi="Times New Roman" w:cs="Times New Roman"/>
                <w:sz w:val="20"/>
                <w:szCs w:val="20"/>
              </w:rPr>
              <w:t xml:space="preserve"> рамках контрольного мероприятия организована проверка исполнения требований федерального законодательства в сфере закупок товаров, работ, услуг отдельными видами юридических лиц. В ходе проверки выявлены нарушения Федерального закона от 18.07.2011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34847">
              <w:rPr>
                <w:rFonts w:ascii="Times New Roman" w:hAnsi="Times New Roman" w:cs="Times New Roman"/>
                <w:sz w:val="20"/>
                <w:szCs w:val="20"/>
              </w:rPr>
              <w:t>№ 223 – ФЗ «О закупках товаров, работ, услуг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ельными видами юридических лиц»: установлены факты нарушения</w:t>
            </w:r>
            <w:r w:rsidR="00992008">
              <w:rPr>
                <w:rFonts w:ascii="Times New Roman" w:hAnsi="Times New Roman" w:cs="Times New Roman"/>
                <w:sz w:val="20"/>
                <w:szCs w:val="20"/>
              </w:rPr>
              <w:t xml:space="preserve"> МАУК </w:t>
            </w:r>
            <w:proofErr w:type="spellStart"/>
            <w:r w:rsidR="00992008">
              <w:rPr>
                <w:rFonts w:ascii="Times New Roman" w:hAnsi="Times New Roman" w:cs="Times New Roman"/>
                <w:sz w:val="20"/>
                <w:szCs w:val="20"/>
              </w:rPr>
              <w:t>ММЦНТиД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сроков оплаты выполненных работ по договору, заключенному с субъектом малого или среднего предпринимательства, не повлиявшие на эффективность и результативность использования субсидии.</w:t>
            </w:r>
          </w:p>
          <w:p w:rsidR="00F34847" w:rsidRPr="00B92CE2" w:rsidRDefault="00F34847" w:rsidP="00F34847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Представление/предписание объекту контроля не выдавалось. </w:t>
            </w:r>
          </w:p>
          <w:p w:rsidR="00F34847" w:rsidRPr="00F34847" w:rsidRDefault="00992008" w:rsidP="00F34847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контрольного мероприятия направлены в УФАС по Томской области. </w:t>
            </w:r>
            <w:r w:rsidR="004D3A1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УФАС по ТО о должностное лицо МАУК </w:t>
            </w:r>
            <w:proofErr w:type="spellStart"/>
            <w:r w:rsidR="004D3A1C">
              <w:rPr>
                <w:rFonts w:ascii="Times New Roman" w:hAnsi="Times New Roman" w:cs="Times New Roman"/>
                <w:sz w:val="20"/>
                <w:szCs w:val="20"/>
              </w:rPr>
              <w:t>ММЦНТиД</w:t>
            </w:r>
            <w:proofErr w:type="spellEnd"/>
            <w:r w:rsidR="004D3A1C">
              <w:rPr>
                <w:rFonts w:ascii="Times New Roman" w:hAnsi="Times New Roman" w:cs="Times New Roman"/>
                <w:sz w:val="20"/>
                <w:szCs w:val="20"/>
              </w:rPr>
              <w:t xml:space="preserve"> признано виновным в совершении административного правонарушения, ответственность за которое предусмотрена частью 9 статьи 7.32.3 КоАП РФ.</w:t>
            </w:r>
          </w:p>
          <w:p w:rsidR="002B402F" w:rsidRDefault="002B402F" w:rsidP="002B402F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847" w:rsidTr="005E33FB">
        <w:tc>
          <w:tcPr>
            <w:tcW w:w="2093" w:type="dxa"/>
          </w:tcPr>
          <w:p w:rsidR="00F34847" w:rsidRDefault="00744126" w:rsidP="00020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  <w:r w:rsidR="008B75B1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МБУК ММЦБС)</w:t>
            </w:r>
          </w:p>
        </w:tc>
        <w:tc>
          <w:tcPr>
            <w:tcW w:w="2551" w:type="dxa"/>
          </w:tcPr>
          <w:p w:rsidR="00F34847" w:rsidRDefault="008B75B1" w:rsidP="006A4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средств бюджета муниципального образования «Молчановский район» муниципальным бюджетным учреждением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 на выплату заработной платы в 2022 году</w:t>
            </w:r>
            <w:r w:rsidR="00E14E98">
              <w:rPr>
                <w:rFonts w:ascii="Times New Roman" w:hAnsi="Times New Roman" w:cs="Times New Roman"/>
                <w:sz w:val="20"/>
                <w:szCs w:val="20"/>
              </w:rPr>
              <w:t xml:space="preserve">/распоряжение Администрации Молчановского района «О проведении контрольного мероприятия» от 20.04.2023 № 115 - </w:t>
            </w:r>
            <w:proofErr w:type="gramStart"/>
            <w:r w:rsidR="00E14E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7" w:type="dxa"/>
          </w:tcPr>
          <w:p w:rsidR="00F34847" w:rsidRDefault="00703EC8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составлен Акт камеральной проверки от 05.07.2023.</w:t>
            </w:r>
          </w:p>
          <w:p w:rsidR="00703EC8" w:rsidRPr="00703EC8" w:rsidRDefault="00703EC8" w:rsidP="00703EC8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703EC8" w:rsidRPr="00703EC8" w:rsidRDefault="00703EC8" w:rsidP="00703EC8">
            <w:pPr>
              <w:widowControl w:val="0"/>
              <w:numPr>
                <w:ilvl w:val="0"/>
                <w:numId w:val="1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нарушение пункта 12 раздела  I Устава объекта контроля Положение о филиалах не разработано.</w:t>
            </w:r>
          </w:p>
          <w:p w:rsidR="00703EC8" w:rsidRPr="00703EC8" w:rsidRDefault="00703EC8" w:rsidP="00703EC8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 нарушение ЕТКС работнику по должности «рабочий по комплексному обслуживанию и ремонту здания» присвоен 1 разряд.</w:t>
            </w:r>
          </w:p>
          <w:p w:rsidR="00703EC8" w:rsidRPr="00703EC8" w:rsidRDefault="00703EC8" w:rsidP="00703EC8">
            <w:pPr>
              <w:numPr>
                <w:ilvl w:val="0"/>
                <w:numId w:val="1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нарушение пункта 13 Положения о системе оплаты труда работников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ниципальных учреждений культуры МБУК ММЦБС</w:t>
            </w: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, финансируемых из бюджета Молчановского района, утвержденного постановлением Администрации Молчановского района от 25.05.2010 № 240, пункта 17 Положения о системе оплаты труда работников областных государственных учреждений, находящихся в ведении Департамента по культуре Томской области, утвержденного постановлением Администрации Томской области от 04.12.2009 № 192а, объект контроля локальным актом не</w:t>
            </w:r>
            <w:proofErr w:type="gramEnd"/>
            <w:r w:rsidRPr="00703EC8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установил конкретный размер выплат за работу в учреждении, расположенном в сельской местности, по занимаемой должности. </w:t>
            </w:r>
          </w:p>
          <w:p w:rsidR="00703EC8" w:rsidRPr="00703EC8" w:rsidRDefault="00703EC8" w:rsidP="00703EC8">
            <w:pPr>
              <w:numPr>
                <w:ilvl w:val="0"/>
                <w:numId w:val="1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 xml:space="preserve">Надбавки стимулирующего характера по общеотраслевым должностям руководителей, специалистов, служащих и общеотраслевым профессиям </w:t>
            </w:r>
            <w:proofErr w:type="gramStart"/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рабочих муниципальных учреждений, финансируемых из бюджета Молчановского района Положением МБУК ММЦБС не установлены</w:t>
            </w:r>
            <w:proofErr w:type="gramEnd"/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EC8" w:rsidRPr="00703EC8" w:rsidRDefault="00703EC8" w:rsidP="00703EC8">
            <w:pPr>
              <w:pStyle w:val="ConsPlusNormal"/>
              <w:numPr>
                <w:ilvl w:val="0"/>
                <w:numId w:val="1"/>
              </w:numPr>
              <w:tabs>
                <w:tab w:val="left" w:pos="1026"/>
              </w:tabs>
              <w:ind w:left="0" w:right="52" w:firstLine="705"/>
              <w:jc w:val="both"/>
              <w:rPr>
                <w:rFonts w:ascii="Times New Roman" w:eastAsiaTheme="minorHAnsi" w:hAnsi="Times New Roman" w:cs="Times New Roman"/>
              </w:rPr>
            </w:pPr>
            <w:r w:rsidRPr="00703EC8">
              <w:rPr>
                <w:rFonts w:ascii="Times New Roman" w:eastAsiaTheme="minorHAnsi" w:hAnsi="Times New Roman" w:cs="Times New Roman"/>
              </w:rPr>
              <w:t xml:space="preserve"> Выплата по итогу работы за год не предусмотрена Положением о порядке и условиях применения стимул</w:t>
            </w:r>
            <w:r>
              <w:rPr>
                <w:rFonts w:ascii="Times New Roman" w:eastAsiaTheme="minorHAnsi" w:hAnsi="Times New Roman" w:cs="Times New Roman"/>
              </w:rPr>
              <w:t>ирующих выплат работникам МБУК ММЦБС</w:t>
            </w:r>
            <w:r w:rsidRPr="00703EC8">
              <w:rPr>
                <w:rFonts w:ascii="Times New Roman" w:eastAsiaTheme="minorHAnsi" w:hAnsi="Times New Roman" w:cs="Times New Roman"/>
              </w:rPr>
              <w:t xml:space="preserve"> и не соответствует пункту 5 настоящего положения. </w:t>
            </w:r>
          </w:p>
          <w:p w:rsidR="00703EC8" w:rsidRPr="00703EC8" w:rsidRDefault="00703EC8" w:rsidP="00703EC8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 дополнительных соглашениях к трудовым договорам, заключенным с работниками МБУК ММЦБС сведения об ИНН Учреждения отсутствуют.</w:t>
            </w:r>
          </w:p>
          <w:p w:rsidR="00703EC8" w:rsidRPr="00703EC8" w:rsidRDefault="00703EC8" w:rsidP="00703EC8">
            <w:pPr>
              <w:numPr>
                <w:ilvl w:val="0"/>
                <w:numId w:val="1"/>
              </w:numPr>
              <w:tabs>
                <w:tab w:val="left" w:pos="1168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 xml:space="preserve">Все изменения в трудовые договоры с </w:t>
            </w:r>
            <w:r w:rsidRPr="0070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работниками Учреждения, внесенные дополнительными соглашениями, вступили в силу с момента их подписания и распространяют свое действие на правоотношения, возникшие с момента приема работника на работу.  </w:t>
            </w:r>
          </w:p>
          <w:p w:rsidR="00703EC8" w:rsidRPr="00703EC8" w:rsidRDefault="00703EC8" w:rsidP="00703EC8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168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Трудовые договоры заключены не со всеми штатными работниками. </w:t>
            </w:r>
          </w:p>
          <w:p w:rsidR="00703EC8" w:rsidRPr="00703EC8" w:rsidRDefault="00E22455" w:rsidP="00703EC8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168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Изменения </w:t>
            </w:r>
            <w:r w:rsidR="00703EC8"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 штатное расписание осуществляются без согласования с учредителем.</w:t>
            </w:r>
          </w:p>
          <w:p w:rsidR="00703EC8" w:rsidRPr="00703EC8" w:rsidRDefault="00703EC8" w:rsidP="00E22455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168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Дискриминация сотрудников при установлении условий оплаты труда – разного размера компенсационной выплаты за работу в учреждении, расположенном в сельской местности, специалистам по одноименным должностям и с одинаковым окладом. Критерии определения размера компенсационной выплаты не разработаны.</w:t>
            </w:r>
          </w:p>
          <w:p w:rsidR="00703EC8" w:rsidRPr="00703EC8" w:rsidRDefault="00703EC8" w:rsidP="00E22455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168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proofErr w:type="gramStart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Фактический порядок выплаты премии руководителю учреждения не соответствует пунктам 16 – 21 постановления Администрации Молчановского района от 25.05.2020 № 269 «Об утверждении Положения о системе оплаты труда руководителей, их заместителей и главных бухгалтеров муниципального автономного учреждения культуры «</w:t>
            </w:r>
            <w:proofErr w:type="spellStart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Межпоселенческий</w:t>
            </w:r>
            <w:proofErr w:type="spellEnd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методический центр народного творчества и досуга»,  муниципального бюджетного учреждения культуры «</w:t>
            </w:r>
            <w:proofErr w:type="spellStart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Молчановская</w:t>
            </w:r>
            <w:proofErr w:type="spellEnd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межпоселенческая</w:t>
            </w:r>
            <w:proofErr w:type="spellEnd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централизованная библиотечная система», муниципального бюджетного образовательного учреждения дополнительного образования «</w:t>
            </w:r>
            <w:proofErr w:type="spellStart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Молчановская</w:t>
            </w:r>
            <w:proofErr w:type="spellEnd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детская музыкальная</w:t>
            </w:r>
            <w:proofErr w:type="gramEnd"/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школа».</w:t>
            </w:r>
          </w:p>
          <w:p w:rsidR="00703EC8" w:rsidRPr="00703EC8" w:rsidRDefault="00703EC8" w:rsidP="00E22455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20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Директор объекта контроля издает приказы о внутреннем совмещении должностей без оформления дополнительного соглашения к трудовым договорам с работниками, что является нарушением части 1 статьи 60.2 ТК РФ.  </w:t>
            </w:r>
          </w:p>
          <w:p w:rsidR="00703EC8" w:rsidRPr="00703EC8" w:rsidRDefault="00703EC8" w:rsidP="00E22455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168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 нарушение статьи 282 ТК РФ директором МБУК М</w:t>
            </w:r>
            <w:r w:rsidR="00E22455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МЦБС</w:t>
            </w: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не заключен трудовой договор с работниками о работе по внутреннему совместительству.</w:t>
            </w:r>
          </w:p>
          <w:p w:rsidR="00703EC8" w:rsidRPr="00703EC8" w:rsidRDefault="00703EC8" w:rsidP="00E22455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1168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Несоблюдение срока уведомления о дате начала отпуска, нарушение </w:t>
            </w:r>
            <w:hyperlink r:id="rId6" w:history="1">
              <w:r w:rsidRPr="00703EC8">
                <w:rPr>
                  <w:rFonts w:ascii="Times New Roman" w:eastAsiaTheme="minorHAnsi" w:hAnsi="Times New Roman" w:cs="Times New Roman"/>
                  <w:b w:val="0"/>
                  <w:sz w:val="20"/>
                  <w:lang w:eastAsia="en-US"/>
                </w:rPr>
                <w:t>части 9 статьи 136</w:t>
              </w:r>
            </w:hyperlink>
            <w:r w:rsidRPr="00703EC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ТК РФ.</w:t>
            </w:r>
          </w:p>
          <w:p w:rsidR="00703EC8" w:rsidRPr="00703EC8" w:rsidRDefault="00703EC8" w:rsidP="00E2245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168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Карточки – справки о форме 0504417 не заполняются в соответствии с приказом Минфина России от 30.03.2015 № 52н, заработная плата по разным должностям ведется в одной карточке – справке, на совместителей не заводится отдельный лицевой счет.</w:t>
            </w:r>
          </w:p>
          <w:p w:rsidR="00703EC8" w:rsidRPr="00703EC8" w:rsidRDefault="00703EC8" w:rsidP="00E22455">
            <w:pPr>
              <w:numPr>
                <w:ilvl w:val="0"/>
                <w:numId w:val="1"/>
              </w:numPr>
              <w:tabs>
                <w:tab w:val="left" w:pos="1116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Сумма неправомерно начисленных денежных средств (заработная плата, компенсационные и стимулирующие  выплаты при совмещении) за проверяемый период составила 16 446,38 рублей (с учетом районного коэффициента и процентной надбавки к заработной плате за стаж работы в местности, приравненной к районам Крайнего Севера), в том числе переплата в размере 15 777,06 рублей, недоплата в размере 669,32 рублей.</w:t>
            </w:r>
            <w:proofErr w:type="gramEnd"/>
          </w:p>
          <w:p w:rsidR="00703EC8" w:rsidRDefault="00703EC8" w:rsidP="00703EC8">
            <w:pPr>
              <w:ind w:left="142" w:firstLine="9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С учетом отчислений во внебюджетные фонды сумма переплаты составляет 20 541,73 рубля.</w:t>
            </w:r>
          </w:p>
          <w:p w:rsidR="00703EC8" w:rsidRDefault="00F970F0" w:rsidP="00F970F0">
            <w:pPr>
              <w:pStyle w:val="a6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Руководителю объекта контроля вынесено представление от 06.09.2023 № 05 – 06 – 2335/23. </w:t>
            </w:r>
            <w:r w:rsidR="005D53FF">
              <w:rPr>
                <w:rFonts w:eastAsiaTheme="minorHAnsi"/>
                <w:sz w:val="20"/>
                <w:szCs w:val="20"/>
                <w:lang w:eastAsia="en-US"/>
              </w:rPr>
              <w:t>Информация о результатах исполнения представления предоставлена 15.11.2023.</w:t>
            </w:r>
          </w:p>
          <w:p w:rsidR="0000631C" w:rsidRDefault="0000631C" w:rsidP="00F970F0">
            <w:pPr>
              <w:pStyle w:val="a6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sz w:val="20"/>
                <w:szCs w:val="20"/>
              </w:rPr>
            </w:pPr>
          </w:p>
        </w:tc>
      </w:tr>
      <w:tr w:rsidR="0000631C" w:rsidTr="005E33FB">
        <w:tc>
          <w:tcPr>
            <w:tcW w:w="2093" w:type="dxa"/>
          </w:tcPr>
          <w:p w:rsidR="0000631C" w:rsidRDefault="00D17E6B" w:rsidP="00020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Исполнительно – распорядительный орган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Могочинского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–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Могочинского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551" w:type="dxa"/>
          </w:tcPr>
          <w:p w:rsidR="0000631C" w:rsidRDefault="00A30283" w:rsidP="006A4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соблюдения законодательства</w:t>
            </w:r>
            <w:r w:rsidR="008963B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иных правовых актов о контрактной системе в сфере закупок товаров, </w:t>
            </w:r>
            <w:r w:rsidR="00896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работ, услуг для обеспечения государственных и муниципальных нужд в отношении отдельных закупок для обеспечения муниципальных нужд/распоряжение </w:t>
            </w:r>
            <w:proofErr w:type="spellStart"/>
            <w:r w:rsidR="008963B0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proofErr w:type="spellEnd"/>
            <w:r w:rsidR="008963B0">
              <w:rPr>
                <w:rFonts w:ascii="Times New Roman" w:hAnsi="Times New Roman" w:cs="Times New Roman"/>
                <w:sz w:val="20"/>
                <w:szCs w:val="20"/>
              </w:rPr>
              <w:t xml:space="preserve"> Молчановского района «О проведении контрольного мероприятия» от 23.08.2023 № 233 – </w:t>
            </w:r>
            <w:proofErr w:type="gramStart"/>
            <w:r w:rsidR="008963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96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07596A" w:rsidRDefault="00694D51" w:rsidP="0007596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контрольного мероприятия составлен Акт камеральной проверки от 31.10</w:t>
            </w:r>
            <w:r w:rsidR="0007596A">
              <w:rPr>
                <w:rFonts w:ascii="Times New Roman" w:hAnsi="Times New Roman" w:cs="Times New Roman"/>
                <w:sz w:val="20"/>
                <w:szCs w:val="20"/>
              </w:rPr>
              <w:t xml:space="preserve">.2023. </w:t>
            </w:r>
          </w:p>
          <w:p w:rsidR="00B67EB1" w:rsidRPr="0007596A" w:rsidRDefault="00B67EB1" w:rsidP="0007596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6A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B67EB1" w:rsidRPr="00B67EB1" w:rsidRDefault="00B67EB1" w:rsidP="009B37D7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В нарушение части 6 статьи 19 Федерального закона от 05.04.2013  № 44 – ФЗ  «О контрактной системе в </w:t>
            </w: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lastRenderedPageBreak/>
              <w:t>сфере закупок товаров, работ, услуг для обеспечения государственных и муниципальных нужд» (далее – Закон № 44 – ФЗ) не все правовые акты объекта контроля о нормировании размещены в установленном порядке в единой информационной системе (далее – ЕИС).</w:t>
            </w:r>
          </w:p>
          <w:p w:rsidR="00B67EB1" w:rsidRPr="00B67EB1" w:rsidRDefault="00B67EB1" w:rsidP="0007596A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 нарушение части 4 статьи 93 Закона № 44 – ФЗ в проверяемом периоде заказчик не осуществлял сбор ценовой информации для заключения контракта с единственным поставщиком. В соответствии со статьей 4.5 КоАП РФ по истечении срока давности постановление по делу об административном правонарушении не может быть вынесено, производство по делу об административном правонарушении не может быть начато.</w:t>
            </w:r>
          </w:p>
          <w:p w:rsidR="00B67EB1" w:rsidRPr="00B67EB1" w:rsidRDefault="00B67EB1" w:rsidP="007C6D31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Выявлено несоответствие в закупочной документации. Начальная максимальная цена контракта (далее – НМЦК) в извещении о проведении электронного аукциона не соответствует НМЦК в проектной документации. В соответствии со статьей 4.5 КоАП РФ по истечении срока давности постановление по делу об административном правонарушении не может быть вынесено, производство по делу об административном правонарушении не может быть начато.</w:t>
            </w:r>
          </w:p>
          <w:p w:rsidR="00B67EB1" w:rsidRPr="00B67EB1" w:rsidRDefault="00B67EB1" w:rsidP="007C6D31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 нарушение части 3 статьи 103 Закона № 44 – ФЗ установлено несоблюдение сроков размещения в ЕИС информации и документов, размещение которых предусмотрено законодательством Российской Федерации о контрактной системе в сфере закупок.  В соответствии со статьей 4.5 КоАП РФ по истечении срока давности постановление по делу об административном правонарушении не может быть вынесено, производство по делу об административном правонарушении не может быть начато.</w:t>
            </w:r>
          </w:p>
          <w:p w:rsidR="00B67EB1" w:rsidRPr="00B67EB1" w:rsidRDefault="00B67EB1" w:rsidP="007C6D31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Установлено размещение недостоверной информации, подтверждающей приемку товара по муниципальному контракту №  </w:t>
            </w:r>
            <w:hyperlink r:id="rId7" w:anchor="/Auction20/View/104377807" w:history="1">
              <w:r w:rsidRPr="00B67EB1">
                <w:rPr>
                  <w:rFonts w:ascii="Times New Roman" w:eastAsiaTheme="minorHAnsi" w:hAnsi="Times New Roman" w:cs="Times New Roman"/>
                  <w:b w:val="0"/>
                  <w:sz w:val="20"/>
                  <w:lang w:eastAsia="en-US"/>
                </w:rPr>
                <w:t>016520000332200026</w:t>
              </w:r>
            </w:hyperlink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 от 06.09.2022.</w:t>
            </w:r>
          </w:p>
          <w:p w:rsidR="00B67EB1" w:rsidRPr="00B67EB1" w:rsidRDefault="00B67EB1" w:rsidP="007C6D31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В проверяемом периоде установлено отсутствие протоколов разногласий, неприменение мер ответственности по муниципальным контрактам, нелогичная претензионная работа, что способствует неэффективному расходованию бюджетных средств. </w:t>
            </w:r>
          </w:p>
          <w:p w:rsidR="00B67EB1" w:rsidRPr="00B67EB1" w:rsidRDefault="00B67EB1" w:rsidP="007C6D31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В нарушение Порядка № 85н, утвержденного приказом Минфина от 06.06.2019, выявлено отнесение расходов на </w:t>
            </w:r>
            <w:proofErr w:type="gramStart"/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несоответствующий</w:t>
            </w:r>
            <w:proofErr w:type="gramEnd"/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вод вида расходов.</w:t>
            </w:r>
          </w:p>
          <w:p w:rsidR="00B67EB1" w:rsidRPr="00B67EB1" w:rsidRDefault="00B67EB1" w:rsidP="007C6D31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В нарушение части 13.1 статьи 34 Закона № 44 – ФЗ установлено несоблюдение сроков и порядка оплаты по муниципальным контрактам. В соответствии со статьей 4.5 КоАП РФ по истечении срока давности постановление по делу об административном правонарушении не может быть вынесено, производство по делу об административном правонарушении не может быть начато.</w:t>
            </w:r>
          </w:p>
          <w:p w:rsidR="00B67EB1" w:rsidRPr="00B67EB1" w:rsidRDefault="00B67EB1" w:rsidP="007C6D31">
            <w:pPr>
              <w:pStyle w:val="ConsPlusTitle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B67EB1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В нарушение части 1 статьи 94 Закона № 44 – ФЗ выявлена оплата товара, несоответствующего условиям контракта. В соответствии со статьей 4.5 КоАП РФ по истечении срока давности постановление по делу об административном правонарушении не может быть вынесено, производство по делу об административном правонарушении не может быть начато.  </w:t>
            </w:r>
          </w:p>
          <w:p w:rsidR="00146001" w:rsidRDefault="00146001" w:rsidP="00146001">
            <w:pPr>
              <w:pStyle w:val="a6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Руководителю объекта контроля вынесено представление от 24.11.2023 № 05 – 06 – 3016/23. Информация о результатах исполнения представления предоставлена 25.12.2023.</w:t>
            </w:r>
          </w:p>
          <w:p w:rsidR="0000631C" w:rsidRDefault="0000631C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6A" w:rsidTr="005E33FB">
        <w:tc>
          <w:tcPr>
            <w:tcW w:w="2093" w:type="dxa"/>
          </w:tcPr>
          <w:p w:rsidR="0007596A" w:rsidRDefault="00146001" w:rsidP="001460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Исполнительно – распорядительный орган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Тунгусовского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–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Тунгусовского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07596A" w:rsidRDefault="00146001" w:rsidP="006A4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сметы и анализ финансово – хозяйственной деятельности/распоряжение Администрации Молчановского района «О проведении контрольного мероприятия» от 26.10.2023 № 296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146001" w:rsidRDefault="00146001" w:rsidP="0014600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составлен Акт камеральной проверки от 28.12.2023. </w:t>
            </w:r>
          </w:p>
          <w:p w:rsidR="00485FD4" w:rsidRPr="0007596A" w:rsidRDefault="00485FD4" w:rsidP="00485FD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6A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485FD4" w:rsidRPr="00485FD4" w:rsidRDefault="00485FD4" w:rsidP="00485FD4">
            <w:pPr>
              <w:pStyle w:val="ConsPlusTitle"/>
              <w:numPr>
                <w:ilvl w:val="0"/>
                <w:numId w:val="6"/>
              </w:numPr>
              <w:tabs>
                <w:tab w:val="left" w:pos="0"/>
                <w:tab w:val="left" w:pos="961"/>
              </w:tabs>
              <w:ind w:left="111" w:firstLine="594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Устав подлежит актуализации в соответствии с Федеральным законом от 06.10.2003 № 131 – ФЗ «Об общих принципах организации местного самоуправления в Российской Федерации». </w:t>
            </w:r>
          </w:p>
          <w:p w:rsidR="00485FD4" w:rsidRPr="00485FD4" w:rsidRDefault="00485FD4" w:rsidP="00485FD4">
            <w:pPr>
              <w:pStyle w:val="ConsPlusTitle"/>
              <w:numPr>
                <w:ilvl w:val="0"/>
                <w:numId w:val="6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Учетная политика требует доработки и дополнения. Утверждать Учетную политику следует в конце года, с целью вступления в силу с января следующего года.</w:t>
            </w:r>
          </w:p>
          <w:p w:rsidR="00485FD4" w:rsidRPr="00485FD4" w:rsidRDefault="00485FD4" w:rsidP="00485FD4">
            <w:pPr>
              <w:pStyle w:val="ConsPlusTitle"/>
              <w:numPr>
                <w:ilvl w:val="0"/>
                <w:numId w:val="6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proofErr w:type="gramStart"/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В нарушение </w:t>
            </w:r>
            <w:hyperlink r:id="rId8" w:history="1">
              <w:r w:rsidRPr="00485FD4">
                <w:rPr>
                  <w:rFonts w:ascii="Times New Roman" w:eastAsiaTheme="minorHAnsi" w:hAnsi="Times New Roman" w:cs="Times New Roman"/>
                  <w:b w:val="0"/>
                  <w:sz w:val="20"/>
                  <w:lang w:eastAsia="en-US"/>
                </w:rPr>
                <w:t>абзаца первого пункта 1</w:t>
              </w:r>
            </w:hyperlink>
            <w:hyperlink r:id="rId9" w:history="1">
              <w:r w:rsidRPr="00485FD4">
                <w:rPr>
                  <w:rFonts w:ascii="Times New Roman" w:eastAsiaTheme="minorHAnsi" w:hAnsi="Times New Roman" w:cs="Times New Roman"/>
                  <w:b w:val="0"/>
                  <w:sz w:val="20"/>
                  <w:lang w:eastAsia="en-US"/>
                </w:rPr>
                <w:t xml:space="preserve"> статьи 221</w:t>
              </w:r>
            </w:hyperlink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БК РФ, </w:t>
            </w:r>
            <w:hyperlink r:id="rId10" w:history="1">
              <w:r w:rsidRPr="00485FD4">
                <w:rPr>
                  <w:rFonts w:ascii="Times New Roman" w:eastAsiaTheme="minorHAnsi" w:hAnsi="Times New Roman" w:cs="Times New Roman"/>
                  <w:b w:val="0"/>
                  <w:sz w:val="20"/>
                  <w:lang w:eastAsia="en-US"/>
                </w:rPr>
                <w:t>пунктов 6</w:t>
              </w:r>
            </w:hyperlink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, </w:t>
            </w:r>
            <w:hyperlink r:id="rId11" w:history="1">
              <w:r w:rsidRPr="00485FD4">
                <w:rPr>
                  <w:rFonts w:ascii="Times New Roman" w:eastAsiaTheme="minorHAnsi" w:hAnsi="Times New Roman" w:cs="Times New Roman"/>
                  <w:b w:val="0"/>
                  <w:sz w:val="20"/>
                  <w:lang w:eastAsia="en-US"/>
                </w:rPr>
                <w:t>8</w:t>
              </w:r>
            </w:hyperlink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Общих требований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14.02.2018 № 26н, бюджетная смета на 2022 год Администрации </w:t>
            </w:r>
            <w:proofErr w:type="spellStart"/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Тунгусовского</w:t>
            </w:r>
            <w:proofErr w:type="spellEnd"/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 сельского поселения составлена без учета лимитов бюджетных обязательств на плановый период 2023 и 2024 годов.</w:t>
            </w:r>
            <w:proofErr w:type="gramEnd"/>
          </w:p>
          <w:p w:rsidR="00485FD4" w:rsidRPr="00485FD4" w:rsidRDefault="00485FD4" w:rsidP="00485FD4">
            <w:pPr>
              <w:pStyle w:val="ConsPlusTitle"/>
              <w:numPr>
                <w:ilvl w:val="0"/>
                <w:numId w:val="6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Установлено несоответствие данных бухгалтерского учета с данными реестров муниципального имущества.</w:t>
            </w:r>
          </w:p>
          <w:p w:rsidR="00485FD4" w:rsidRPr="00485FD4" w:rsidRDefault="00485FD4" w:rsidP="00485FD4">
            <w:pPr>
              <w:pStyle w:val="ConsPlusTitle"/>
              <w:numPr>
                <w:ilvl w:val="0"/>
                <w:numId w:val="6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Денежные средства под отчет в проверяемом периоде выдавались с нарушением последовательности, установленной пунктом 6.3 Указания Банка России от 11.03.2014 № 3210 – 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 </w:t>
            </w:r>
          </w:p>
          <w:p w:rsidR="00485FD4" w:rsidRPr="00485FD4" w:rsidRDefault="00485FD4" w:rsidP="00485FD4">
            <w:pPr>
              <w:pStyle w:val="ConsPlusTitle"/>
              <w:numPr>
                <w:ilvl w:val="0"/>
                <w:numId w:val="6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Выявлено излишнее списание 2,2 литров бензина при переходе с зимнего норматива расхода топлива на </w:t>
            </w:r>
            <w:proofErr w:type="gramStart"/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летний</w:t>
            </w:r>
            <w:proofErr w:type="gramEnd"/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.</w:t>
            </w:r>
          </w:p>
          <w:p w:rsidR="00485FD4" w:rsidRDefault="00485FD4" w:rsidP="00485FD4">
            <w:pPr>
              <w:pStyle w:val="ConsPlusTitle"/>
              <w:numPr>
                <w:ilvl w:val="0"/>
                <w:numId w:val="6"/>
              </w:numPr>
              <w:tabs>
                <w:tab w:val="left" w:pos="0"/>
                <w:tab w:val="left" w:pos="1026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85F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Установлен факт принятия к бухгалтерскому учету первичных документов (путевых листов легкового автомобиля),  оформленных с нарушением части 2 статьи 9 Федерального закона от 06.12.2011  № 402 – ФЗ «О бухгалтерском учете» (на документах отсутствуют подписи лиц, ответственных за оформление документа). Путевой лист требует дополнения обязательными реквизитами в соответствии с II разделом приказа Минтранса России от 11.09.2020 № 368.</w:t>
            </w:r>
          </w:p>
          <w:p w:rsidR="00485FD4" w:rsidRDefault="00485FD4" w:rsidP="00485FD4">
            <w:pPr>
              <w:pStyle w:val="a6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Руководителю объекта конт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роля вынесено представление от 01.02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05 – 06 – 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/2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 Информация о результатах исполнен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ия представления предоставлена в установленный срок </w:t>
            </w:r>
            <w:bookmarkStart w:id="0" w:name="_GoBack"/>
            <w:bookmarkEnd w:id="0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85FD4" w:rsidRPr="00485FD4" w:rsidRDefault="00485FD4" w:rsidP="00485FD4">
            <w:pPr>
              <w:pStyle w:val="ConsPlusTitle"/>
              <w:tabs>
                <w:tab w:val="left" w:pos="0"/>
                <w:tab w:val="left" w:pos="1026"/>
              </w:tabs>
              <w:ind w:left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  <w:p w:rsidR="0007596A" w:rsidRDefault="0007596A" w:rsidP="00694D5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3FB" w:rsidRDefault="005E33FB" w:rsidP="005E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DD9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A9239F"/>
    <w:multiLevelType w:val="hybridMultilevel"/>
    <w:tmpl w:val="C1F0CE34"/>
    <w:lvl w:ilvl="0" w:tplc="E9529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7E2F5C"/>
    <w:multiLevelType w:val="hybridMultilevel"/>
    <w:tmpl w:val="99282F18"/>
    <w:lvl w:ilvl="0" w:tplc="159A0D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B80053F"/>
    <w:multiLevelType w:val="hybridMultilevel"/>
    <w:tmpl w:val="9564B694"/>
    <w:lvl w:ilvl="0" w:tplc="D2C8FA1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DA41ED8"/>
    <w:multiLevelType w:val="hybridMultilevel"/>
    <w:tmpl w:val="D52693E0"/>
    <w:lvl w:ilvl="0" w:tplc="99EA2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00631C"/>
    <w:rsid w:val="000205B1"/>
    <w:rsid w:val="0007596A"/>
    <w:rsid w:val="0014029D"/>
    <w:rsid w:val="00146001"/>
    <w:rsid w:val="002136DC"/>
    <w:rsid w:val="002A70BB"/>
    <w:rsid w:val="002B402F"/>
    <w:rsid w:val="00372ED9"/>
    <w:rsid w:val="00485FD4"/>
    <w:rsid w:val="00494262"/>
    <w:rsid w:val="004D2114"/>
    <w:rsid w:val="004D3A1C"/>
    <w:rsid w:val="005312D0"/>
    <w:rsid w:val="00580F30"/>
    <w:rsid w:val="00596875"/>
    <w:rsid w:val="005D53FF"/>
    <w:rsid w:val="005E33FB"/>
    <w:rsid w:val="00650E49"/>
    <w:rsid w:val="006541DA"/>
    <w:rsid w:val="00694D51"/>
    <w:rsid w:val="006A4DF6"/>
    <w:rsid w:val="007030BE"/>
    <w:rsid w:val="00703EC8"/>
    <w:rsid w:val="00744126"/>
    <w:rsid w:val="00744557"/>
    <w:rsid w:val="007C6D31"/>
    <w:rsid w:val="007F10D4"/>
    <w:rsid w:val="0082734B"/>
    <w:rsid w:val="00854DB4"/>
    <w:rsid w:val="008963B0"/>
    <w:rsid w:val="008B75B1"/>
    <w:rsid w:val="008E6DF8"/>
    <w:rsid w:val="008F0307"/>
    <w:rsid w:val="009605FD"/>
    <w:rsid w:val="00992008"/>
    <w:rsid w:val="009B37D7"/>
    <w:rsid w:val="009B47F9"/>
    <w:rsid w:val="00A30283"/>
    <w:rsid w:val="00AE7A44"/>
    <w:rsid w:val="00B56E50"/>
    <w:rsid w:val="00B67EB1"/>
    <w:rsid w:val="00B81994"/>
    <w:rsid w:val="00B92CE2"/>
    <w:rsid w:val="00B9457E"/>
    <w:rsid w:val="00B956D1"/>
    <w:rsid w:val="00BF6AA6"/>
    <w:rsid w:val="00C00B47"/>
    <w:rsid w:val="00C073F4"/>
    <w:rsid w:val="00C82B7F"/>
    <w:rsid w:val="00CE61E4"/>
    <w:rsid w:val="00CF617E"/>
    <w:rsid w:val="00D17E6B"/>
    <w:rsid w:val="00D3321E"/>
    <w:rsid w:val="00D54FB4"/>
    <w:rsid w:val="00D70CE8"/>
    <w:rsid w:val="00DE2874"/>
    <w:rsid w:val="00E14E98"/>
    <w:rsid w:val="00E22455"/>
    <w:rsid w:val="00E240CD"/>
    <w:rsid w:val="00E41F6C"/>
    <w:rsid w:val="00ED323D"/>
    <w:rsid w:val="00F020CF"/>
    <w:rsid w:val="00F34847"/>
    <w:rsid w:val="00F6518B"/>
    <w:rsid w:val="00F970F0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03E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03EC8"/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970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97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03E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03EC8"/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970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97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4EA33B01556DB35886B29DAAAAEBAA48EB7D56850BE9472E74686BF99732BF4375C2E2F261BFE6812645B613CA9D348434C917BFEbFj2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pp.rts-tender.ru/customer/lk/App5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2B82C721203F6B7DA0BCEBB1F6F7AFD20443A5C5263B081ADF9ACE819E24566393798F74726968DB374492A9FEEF7EA94DCF1B95926E94O0KBJ" TargetMode="External"/><Relationship Id="rId11" Type="http://schemas.openxmlformats.org/officeDocument/2006/relationships/hyperlink" Target="consultantplus://offline/ref=A854EA33B01556DB35886B29DAAAAEBAA381BFD36155BE9472E74686BF99732BF4375C2C2E2F18F63848745F2869A0CD4D5F539165FEF183b2j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54EA33B01556DB35886B29DAAAAEBAA381BFD36155BE9472E74686BF99732BF4375C2C2E2F18F63C48745F2869A0CD4D5F539165FEF183b2j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54EA33B01556DB35886B29DAAAAEBAA48EB7D56850BE9472E74686BF99732BF4375C2E2F261DFE6812645B613CA9D348434C917BFEbF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Пивоварова</dc:creator>
  <cp:keywords/>
  <dc:description/>
  <cp:lastModifiedBy>Елена А. Пивоварова</cp:lastModifiedBy>
  <cp:revision>55</cp:revision>
  <dcterms:created xsi:type="dcterms:W3CDTF">2023-08-28T05:41:00Z</dcterms:created>
  <dcterms:modified xsi:type="dcterms:W3CDTF">2024-04-02T05:17:00Z</dcterms:modified>
</cp:coreProperties>
</file>